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2B55" w14:textId="7278065B" w:rsidR="00A563DA" w:rsidRPr="00196031" w:rsidRDefault="008A6DE9" w:rsidP="00D52729">
      <w:pPr>
        <w:pStyle w:val="Default"/>
        <w:rPr>
          <w:rFonts w:asciiTheme="minorHAnsi" w:hAnsiTheme="minorHAnsi" w:cstheme="minorHAnsi"/>
          <w:b/>
          <w:color w:val="auto"/>
        </w:rPr>
      </w:pPr>
      <w:r w:rsidRPr="00196031">
        <w:rPr>
          <w:rFonts w:asciiTheme="minorHAnsi" w:hAnsiTheme="minorHAnsi" w:cstheme="minorHAnsi"/>
          <w:b/>
          <w:color w:val="auto"/>
        </w:rPr>
        <w:t>Voortgangssystematiek</w:t>
      </w:r>
      <w:r w:rsidR="00B16C55" w:rsidRPr="00196031">
        <w:rPr>
          <w:rFonts w:asciiTheme="minorHAnsi" w:hAnsiTheme="minorHAnsi" w:cstheme="minorHAnsi"/>
          <w:b/>
          <w:color w:val="auto"/>
        </w:rPr>
        <w:t xml:space="preserve"> </w:t>
      </w:r>
      <w:r w:rsidR="00FC4FBC" w:rsidRPr="00196031">
        <w:rPr>
          <w:rFonts w:asciiTheme="minorHAnsi" w:hAnsiTheme="minorHAnsi" w:cstheme="minorHAnsi"/>
          <w:b/>
          <w:color w:val="auto"/>
        </w:rPr>
        <w:t>Albeda College Muzikant Producer leerjaar 1</w:t>
      </w:r>
      <w:r w:rsidR="00E54D3B">
        <w:rPr>
          <w:rFonts w:asciiTheme="minorHAnsi" w:hAnsiTheme="minorHAnsi" w:cstheme="minorHAnsi"/>
          <w:b/>
          <w:color w:val="auto"/>
        </w:rPr>
        <w:br/>
        <w:t>Cohort 2020-2023</w:t>
      </w:r>
    </w:p>
    <w:p w14:paraId="494355C9" w14:textId="77777777" w:rsidR="008A6DE9" w:rsidRPr="00196031" w:rsidRDefault="008A6DE9" w:rsidP="00D52729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73EEE2A" w14:textId="77777777" w:rsidR="00A563DA" w:rsidRPr="00196031" w:rsidRDefault="00A563DA" w:rsidP="00D52729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196031">
        <w:rPr>
          <w:rFonts w:asciiTheme="minorHAnsi" w:hAnsiTheme="minorHAnsi" w:cstheme="minorHAnsi"/>
          <w:b/>
          <w:bCs/>
          <w:color w:val="auto"/>
        </w:rPr>
        <w:t xml:space="preserve">Beoordeling van de studievoortgang </w:t>
      </w:r>
    </w:p>
    <w:p w14:paraId="04439B8D" w14:textId="518A638C" w:rsidR="00237454" w:rsidRPr="00196031" w:rsidRDefault="00FC4FBC" w:rsidP="00D52729">
      <w:pPr>
        <w:pStyle w:val="Default"/>
        <w:rPr>
          <w:rFonts w:asciiTheme="minorHAnsi" w:hAnsiTheme="minorHAnsi" w:cstheme="minorHAnsi"/>
          <w:bCs/>
          <w:color w:val="auto"/>
        </w:rPr>
      </w:pPr>
      <w:r w:rsidRPr="00196031">
        <w:rPr>
          <w:rFonts w:asciiTheme="minorHAnsi" w:hAnsiTheme="minorHAnsi" w:cstheme="minorHAnsi"/>
          <w:bCs/>
          <w:color w:val="auto"/>
        </w:rPr>
        <w:t xml:space="preserve">Tijdens het </w:t>
      </w:r>
      <w:r w:rsidR="004D2944" w:rsidRPr="00196031">
        <w:rPr>
          <w:rFonts w:asciiTheme="minorHAnsi" w:hAnsiTheme="minorHAnsi" w:cstheme="minorHAnsi"/>
          <w:bCs/>
          <w:color w:val="auto"/>
        </w:rPr>
        <w:t>eerste leerjaar volgen en begeleiden wij jouw</w:t>
      </w:r>
      <w:r w:rsidRPr="00196031">
        <w:rPr>
          <w:rFonts w:asciiTheme="minorHAnsi" w:hAnsiTheme="minorHAnsi" w:cstheme="minorHAnsi"/>
          <w:bCs/>
          <w:color w:val="auto"/>
        </w:rPr>
        <w:t xml:space="preserve"> </w:t>
      </w:r>
      <w:r w:rsidR="004D2944" w:rsidRPr="00196031">
        <w:rPr>
          <w:rFonts w:asciiTheme="minorHAnsi" w:hAnsiTheme="minorHAnsi" w:cstheme="minorHAnsi"/>
          <w:bCs/>
          <w:color w:val="auto"/>
        </w:rPr>
        <w:t xml:space="preserve">studievoortgang </w:t>
      </w:r>
      <w:r w:rsidRPr="00196031">
        <w:rPr>
          <w:rFonts w:asciiTheme="minorHAnsi" w:hAnsiTheme="minorHAnsi" w:cstheme="minorHAnsi"/>
          <w:bCs/>
          <w:color w:val="auto"/>
        </w:rPr>
        <w:t>nauwlettend</w:t>
      </w:r>
      <w:r w:rsidR="004D2944" w:rsidRPr="00196031">
        <w:rPr>
          <w:rFonts w:asciiTheme="minorHAnsi" w:hAnsiTheme="minorHAnsi" w:cstheme="minorHAnsi"/>
          <w:bCs/>
          <w:color w:val="auto"/>
        </w:rPr>
        <w:t>.</w:t>
      </w:r>
      <w:r w:rsidRPr="00196031">
        <w:rPr>
          <w:rFonts w:asciiTheme="minorHAnsi" w:hAnsiTheme="minorHAnsi" w:cstheme="minorHAnsi"/>
          <w:bCs/>
          <w:color w:val="auto"/>
        </w:rPr>
        <w:t xml:space="preserve"> </w:t>
      </w:r>
      <w:r w:rsidR="00247F78" w:rsidRPr="00196031">
        <w:rPr>
          <w:rFonts w:asciiTheme="minorHAnsi" w:hAnsiTheme="minorHAnsi" w:cstheme="minorHAnsi"/>
          <w:bCs/>
          <w:color w:val="auto"/>
        </w:rPr>
        <w:t xml:space="preserve">Over je studievoortgang sta je </w:t>
      </w:r>
      <w:r w:rsidR="004D2944" w:rsidRPr="00196031">
        <w:rPr>
          <w:rFonts w:asciiTheme="minorHAnsi" w:hAnsiTheme="minorHAnsi" w:cstheme="minorHAnsi"/>
          <w:bCs/>
          <w:color w:val="auto"/>
        </w:rPr>
        <w:t>regelmatig</w:t>
      </w:r>
      <w:r w:rsidR="00247F78" w:rsidRPr="00196031">
        <w:rPr>
          <w:rFonts w:asciiTheme="minorHAnsi" w:hAnsiTheme="minorHAnsi" w:cstheme="minorHAnsi"/>
          <w:bCs/>
          <w:color w:val="auto"/>
        </w:rPr>
        <w:t xml:space="preserve"> in</w:t>
      </w:r>
      <w:r w:rsidR="004D2944" w:rsidRPr="00196031">
        <w:rPr>
          <w:rFonts w:asciiTheme="minorHAnsi" w:hAnsiTheme="minorHAnsi" w:cstheme="minorHAnsi"/>
          <w:bCs/>
          <w:color w:val="auto"/>
        </w:rPr>
        <w:t xml:space="preserve"> contact met jouw docenten, Cycle begeleider en studieloopbaanbegeleider. Wat gaat er goed? Wat kan beter? </w:t>
      </w:r>
      <w:r w:rsidR="00B83785" w:rsidRPr="00196031">
        <w:rPr>
          <w:rFonts w:asciiTheme="minorHAnsi" w:hAnsiTheme="minorHAnsi" w:cstheme="minorHAnsi"/>
          <w:bCs/>
          <w:color w:val="auto"/>
        </w:rPr>
        <w:t xml:space="preserve">Ze denken graag met je mee en helpen je </w:t>
      </w:r>
      <w:r w:rsidRPr="00196031">
        <w:rPr>
          <w:rFonts w:asciiTheme="minorHAnsi" w:hAnsiTheme="minorHAnsi" w:cstheme="minorHAnsi"/>
          <w:bCs/>
          <w:color w:val="auto"/>
        </w:rPr>
        <w:t>hoe je zaken kan verbeteren die nog niet goed gaan.</w:t>
      </w:r>
    </w:p>
    <w:p w14:paraId="30B31EFB" w14:textId="77777777" w:rsidR="00237454" w:rsidRPr="00196031" w:rsidRDefault="00237454" w:rsidP="00D52729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2B843D8" w14:textId="5A78ED5E" w:rsidR="00237454" w:rsidRPr="00196031" w:rsidRDefault="00FC4FBC" w:rsidP="00237454">
      <w:pPr>
        <w:spacing w:after="0" w:line="240" w:lineRule="auto"/>
        <w:rPr>
          <w:rFonts w:cstheme="minorHAnsi"/>
          <w:b/>
          <w:sz w:val="24"/>
          <w:szCs w:val="24"/>
        </w:rPr>
      </w:pPr>
      <w:r w:rsidRPr="00196031">
        <w:rPr>
          <w:rFonts w:cstheme="minorHAnsi"/>
          <w:b/>
          <w:sz w:val="24"/>
          <w:szCs w:val="24"/>
        </w:rPr>
        <w:t xml:space="preserve">Drie </w:t>
      </w:r>
      <w:r w:rsidR="00B61700" w:rsidRPr="00196031">
        <w:rPr>
          <w:rFonts w:cstheme="minorHAnsi"/>
          <w:b/>
          <w:sz w:val="24"/>
          <w:szCs w:val="24"/>
        </w:rPr>
        <w:t>beoordelings</w:t>
      </w:r>
      <w:r w:rsidR="00C91318" w:rsidRPr="00196031">
        <w:rPr>
          <w:rFonts w:cstheme="minorHAnsi"/>
          <w:b/>
          <w:sz w:val="24"/>
          <w:szCs w:val="24"/>
        </w:rPr>
        <w:t>momenten</w:t>
      </w:r>
      <w:r w:rsidR="00B83785" w:rsidRPr="00196031">
        <w:rPr>
          <w:rFonts w:cstheme="minorHAnsi"/>
          <w:b/>
          <w:sz w:val="24"/>
          <w:szCs w:val="24"/>
        </w:rPr>
        <w:t xml:space="preserve"> </w:t>
      </w:r>
    </w:p>
    <w:p w14:paraId="607BDB99" w14:textId="186EE511" w:rsidR="00B83785" w:rsidRPr="00196031" w:rsidRDefault="00C30EA8" w:rsidP="00FC4FBC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>Je bent toegelaten</w:t>
      </w:r>
      <w:r w:rsidR="00B83785" w:rsidRPr="00196031">
        <w:rPr>
          <w:rFonts w:asciiTheme="minorHAnsi" w:hAnsiTheme="minorHAnsi" w:cstheme="minorHAnsi"/>
          <w:color w:val="auto"/>
        </w:rPr>
        <w:t xml:space="preserve"> tot onze opleiding</w:t>
      </w:r>
      <w:r w:rsidR="00914525" w:rsidRPr="00196031">
        <w:rPr>
          <w:rFonts w:asciiTheme="minorHAnsi" w:hAnsiTheme="minorHAnsi" w:cstheme="minorHAnsi"/>
          <w:color w:val="auto"/>
        </w:rPr>
        <w:t xml:space="preserve">. </w:t>
      </w:r>
      <w:r w:rsidR="00247F78" w:rsidRPr="00196031">
        <w:rPr>
          <w:rFonts w:asciiTheme="minorHAnsi" w:hAnsiTheme="minorHAnsi" w:cstheme="minorHAnsi"/>
          <w:color w:val="auto"/>
        </w:rPr>
        <w:t xml:space="preserve">Daarvoor heb je meerdere audities succesvol doorlopen. </w:t>
      </w:r>
      <w:r w:rsidR="00914525" w:rsidRPr="00196031">
        <w:rPr>
          <w:rFonts w:asciiTheme="minorHAnsi" w:hAnsiTheme="minorHAnsi" w:cstheme="minorHAnsi"/>
          <w:color w:val="auto"/>
        </w:rPr>
        <w:t>Dit betekent dat wij vertrouwen</w:t>
      </w:r>
      <w:r w:rsidR="00B83785" w:rsidRPr="00196031">
        <w:rPr>
          <w:rFonts w:asciiTheme="minorHAnsi" w:hAnsiTheme="minorHAnsi" w:cstheme="minorHAnsi"/>
          <w:color w:val="auto"/>
        </w:rPr>
        <w:t xml:space="preserve"> hebben</w:t>
      </w:r>
      <w:r w:rsidR="00914525" w:rsidRPr="00196031">
        <w:rPr>
          <w:rFonts w:asciiTheme="minorHAnsi" w:hAnsiTheme="minorHAnsi" w:cstheme="minorHAnsi"/>
          <w:color w:val="auto"/>
        </w:rPr>
        <w:t xml:space="preserve"> in jouw talent. M</w:t>
      </w:r>
      <w:r w:rsidRPr="00196031">
        <w:rPr>
          <w:rFonts w:asciiTheme="minorHAnsi" w:hAnsiTheme="minorHAnsi" w:cstheme="minorHAnsi"/>
          <w:color w:val="auto"/>
        </w:rPr>
        <w:t xml:space="preserve">aar </w:t>
      </w:r>
      <w:r w:rsidR="00627561" w:rsidRPr="00196031">
        <w:rPr>
          <w:rFonts w:asciiTheme="minorHAnsi" w:hAnsiTheme="minorHAnsi" w:cstheme="minorHAnsi"/>
          <w:color w:val="auto"/>
        </w:rPr>
        <w:t xml:space="preserve">bij dit vak </w:t>
      </w:r>
      <w:r w:rsidR="00914525" w:rsidRPr="00196031">
        <w:rPr>
          <w:rFonts w:asciiTheme="minorHAnsi" w:hAnsiTheme="minorHAnsi" w:cstheme="minorHAnsi"/>
          <w:color w:val="auto"/>
        </w:rPr>
        <w:t>komt meer kijken dan talent alleen. P</w:t>
      </w:r>
      <w:r w:rsidRPr="00196031">
        <w:rPr>
          <w:rFonts w:asciiTheme="minorHAnsi" w:hAnsiTheme="minorHAnsi" w:cstheme="minorHAnsi"/>
          <w:color w:val="auto"/>
        </w:rPr>
        <w:t xml:space="preserve">as in de loop van het eerste leerjaar zullen jij en </w:t>
      </w:r>
      <w:r w:rsidR="00DB60D1" w:rsidRPr="00196031">
        <w:rPr>
          <w:rFonts w:asciiTheme="minorHAnsi" w:hAnsiTheme="minorHAnsi" w:cstheme="minorHAnsi"/>
          <w:color w:val="auto"/>
        </w:rPr>
        <w:t>jouw studieloopbaanbegeleider</w:t>
      </w:r>
      <w:r w:rsidRPr="00196031">
        <w:rPr>
          <w:rFonts w:asciiTheme="minorHAnsi" w:hAnsiTheme="minorHAnsi" w:cstheme="minorHAnsi"/>
          <w:color w:val="auto"/>
        </w:rPr>
        <w:t xml:space="preserve"> kunnen beoordelen of deze opleiding daadwerkelijk geschikt is voor jou en of jij echt geschikt bent voor de beroepspraktijk die erop volgt.</w:t>
      </w:r>
      <w:r w:rsidR="00ED0AEA" w:rsidRPr="00196031">
        <w:rPr>
          <w:rFonts w:asciiTheme="minorHAnsi" w:hAnsiTheme="minorHAnsi" w:cstheme="minorHAnsi"/>
          <w:color w:val="auto"/>
        </w:rPr>
        <w:t xml:space="preserve"> </w:t>
      </w:r>
      <w:r w:rsidR="00ED0AEA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In het eerste jaar van je opleiding ontvang je </w:t>
      </w:r>
      <w:r w:rsidR="00914525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daarom </w:t>
      </w:r>
      <w:r w:rsidR="00ED0AEA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een </w:t>
      </w:r>
      <w:r w:rsidR="00ED0AEA" w:rsidRPr="0019603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bindend studieadvies</w:t>
      </w:r>
      <w:r w:rsidR="00ED0AEA" w:rsidRPr="00196031">
        <w:rPr>
          <w:rFonts w:asciiTheme="minorHAnsi" w:hAnsiTheme="minorHAnsi" w:cstheme="minorHAnsi"/>
          <w:color w:val="auto"/>
          <w:shd w:val="clear" w:color="auto" w:fill="FFFFFF"/>
        </w:rPr>
        <w:t>. Dit kan een positief advies zijn, wat betekent dat je je opleiding kan voortzetten, of een negatief advies.</w:t>
      </w:r>
      <w:r w:rsidR="00B83785" w:rsidRPr="00196031">
        <w:rPr>
          <w:rFonts w:asciiTheme="minorHAnsi" w:hAnsiTheme="minorHAnsi" w:cstheme="minorHAnsi"/>
          <w:color w:val="auto"/>
        </w:rPr>
        <w:t xml:space="preserve"> </w:t>
      </w:r>
    </w:p>
    <w:p w14:paraId="5F1B2D51" w14:textId="77777777" w:rsidR="00B83785" w:rsidRPr="00196031" w:rsidRDefault="00B83785" w:rsidP="00FC4FBC">
      <w:pPr>
        <w:pStyle w:val="Default"/>
        <w:rPr>
          <w:rFonts w:asciiTheme="minorHAnsi" w:hAnsiTheme="minorHAnsi" w:cstheme="minorHAnsi"/>
          <w:color w:val="auto"/>
        </w:rPr>
      </w:pPr>
    </w:p>
    <w:p w14:paraId="199812CB" w14:textId="7827595B" w:rsidR="00FC4FBC" w:rsidRPr="00196031" w:rsidRDefault="00914525" w:rsidP="00FC4FBC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Om dit bindend studieadvies te kunnen geven zijn er gedurende het jaar </w:t>
      </w:r>
      <w:r w:rsidR="00C30EA8" w:rsidRPr="00196031">
        <w:rPr>
          <w:rFonts w:asciiTheme="minorHAnsi" w:hAnsiTheme="minorHAnsi" w:cstheme="minorHAnsi"/>
          <w:color w:val="auto"/>
        </w:rPr>
        <w:t xml:space="preserve">drie </w:t>
      </w:r>
      <w:r w:rsidR="00627561" w:rsidRPr="00196031">
        <w:rPr>
          <w:rFonts w:asciiTheme="minorHAnsi" w:hAnsiTheme="minorHAnsi" w:cstheme="minorHAnsi"/>
          <w:color w:val="auto"/>
        </w:rPr>
        <w:t>beoordelings</w:t>
      </w:r>
      <w:r w:rsidR="00C30EA8" w:rsidRPr="00196031">
        <w:rPr>
          <w:rFonts w:asciiTheme="minorHAnsi" w:hAnsiTheme="minorHAnsi" w:cstheme="minorHAnsi"/>
          <w:color w:val="auto"/>
        </w:rPr>
        <w:t xml:space="preserve">momenten, telkens aan het einde van een </w:t>
      </w:r>
      <w:r w:rsidR="00627561" w:rsidRPr="00196031">
        <w:rPr>
          <w:rFonts w:asciiTheme="minorHAnsi" w:hAnsiTheme="minorHAnsi" w:cstheme="minorHAnsi"/>
          <w:color w:val="auto"/>
        </w:rPr>
        <w:t>les</w:t>
      </w:r>
      <w:r w:rsidR="00C30EA8" w:rsidRPr="00196031">
        <w:rPr>
          <w:rFonts w:asciiTheme="minorHAnsi" w:hAnsiTheme="minorHAnsi" w:cstheme="minorHAnsi"/>
          <w:color w:val="auto"/>
        </w:rPr>
        <w:t>periode. Dan wordt jouw voortgang vastgesteld met als doel om daar achter te komen.</w:t>
      </w:r>
      <w:r w:rsidR="001F0918" w:rsidRPr="00196031">
        <w:rPr>
          <w:rFonts w:asciiTheme="minorHAnsi" w:hAnsiTheme="minorHAnsi" w:cstheme="minorHAnsi"/>
          <w:color w:val="auto"/>
        </w:rPr>
        <w:t xml:space="preserve"> </w:t>
      </w:r>
      <w:r w:rsidR="00C91318" w:rsidRPr="00196031">
        <w:rPr>
          <w:rFonts w:asciiTheme="minorHAnsi" w:hAnsiTheme="minorHAnsi" w:cstheme="minorHAnsi"/>
          <w:color w:val="auto"/>
        </w:rPr>
        <w:t xml:space="preserve">Elk </w:t>
      </w:r>
      <w:r w:rsidR="00B61700" w:rsidRPr="00196031">
        <w:rPr>
          <w:rFonts w:asciiTheme="minorHAnsi" w:hAnsiTheme="minorHAnsi" w:cstheme="minorHAnsi"/>
          <w:color w:val="auto"/>
        </w:rPr>
        <w:t>beoordelingsmoment</w:t>
      </w:r>
      <w:r w:rsidR="00C91318" w:rsidRPr="00196031">
        <w:rPr>
          <w:rFonts w:asciiTheme="minorHAnsi" w:hAnsiTheme="minorHAnsi" w:cstheme="minorHAnsi"/>
          <w:color w:val="auto"/>
        </w:rPr>
        <w:t xml:space="preserve"> levert een </w:t>
      </w:r>
      <w:r w:rsidR="001F0918" w:rsidRPr="00196031">
        <w:rPr>
          <w:rFonts w:asciiTheme="minorHAnsi" w:hAnsiTheme="minorHAnsi" w:cstheme="minorHAnsi"/>
          <w:color w:val="auto"/>
        </w:rPr>
        <w:t xml:space="preserve">resultaat </w:t>
      </w:r>
      <w:r w:rsidR="00C91318" w:rsidRPr="00196031">
        <w:rPr>
          <w:rFonts w:asciiTheme="minorHAnsi" w:hAnsiTheme="minorHAnsi" w:cstheme="minorHAnsi"/>
          <w:color w:val="auto"/>
        </w:rPr>
        <w:t xml:space="preserve">op </w:t>
      </w:r>
      <w:r w:rsidR="001F0918" w:rsidRPr="00196031">
        <w:rPr>
          <w:rFonts w:asciiTheme="minorHAnsi" w:hAnsiTheme="minorHAnsi" w:cstheme="minorHAnsi"/>
          <w:color w:val="auto"/>
        </w:rPr>
        <w:t xml:space="preserve">dat </w:t>
      </w:r>
      <w:r w:rsidR="00FC4FBC" w:rsidRPr="00196031">
        <w:rPr>
          <w:rFonts w:asciiTheme="minorHAnsi" w:hAnsiTheme="minorHAnsi" w:cstheme="minorHAnsi"/>
          <w:color w:val="auto"/>
        </w:rPr>
        <w:t xml:space="preserve">wordt toegevoegd in </w:t>
      </w:r>
      <w:r w:rsidR="00C77671" w:rsidRPr="00196031">
        <w:rPr>
          <w:rFonts w:asciiTheme="minorHAnsi" w:hAnsiTheme="minorHAnsi" w:cstheme="minorHAnsi"/>
          <w:color w:val="auto"/>
        </w:rPr>
        <w:t>een</w:t>
      </w:r>
      <w:r w:rsidR="00FC4FBC" w:rsidRPr="00196031">
        <w:rPr>
          <w:rFonts w:asciiTheme="minorHAnsi" w:hAnsiTheme="minorHAnsi" w:cstheme="minorHAnsi"/>
          <w:color w:val="auto"/>
        </w:rPr>
        <w:t xml:space="preserve"> rapport</w:t>
      </w:r>
      <w:r w:rsidR="001F0918" w:rsidRPr="00196031">
        <w:rPr>
          <w:rFonts w:asciiTheme="minorHAnsi" w:hAnsiTheme="minorHAnsi" w:cstheme="minorHAnsi"/>
          <w:color w:val="auto"/>
        </w:rPr>
        <w:t>. Vervolgens bespreek je dit</w:t>
      </w:r>
      <w:r w:rsidR="00FC4FBC" w:rsidRPr="00196031">
        <w:rPr>
          <w:rFonts w:asciiTheme="minorHAnsi" w:hAnsiTheme="minorHAnsi" w:cstheme="minorHAnsi"/>
          <w:color w:val="auto"/>
        </w:rPr>
        <w:t xml:space="preserve"> </w:t>
      </w:r>
      <w:r w:rsidR="00C91318" w:rsidRPr="00196031">
        <w:rPr>
          <w:rFonts w:asciiTheme="minorHAnsi" w:hAnsiTheme="minorHAnsi" w:cstheme="minorHAnsi"/>
          <w:color w:val="auto"/>
        </w:rPr>
        <w:t>met</w:t>
      </w:r>
      <w:r w:rsidR="00FC4FBC" w:rsidRPr="00196031">
        <w:rPr>
          <w:rFonts w:asciiTheme="minorHAnsi" w:hAnsiTheme="minorHAnsi" w:cstheme="minorHAnsi"/>
          <w:color w:val="auto"/>
        </w:rPr>
        <w:t xml:space="preserve"> je studieloopbaanbegeleider. </w:t>
      </w:r>
      <w:r w:rsidR="004C7F69" w:rsidRPr="00196031">
        <w:rPr>
          <w:rFonts w:asciiTheme="minorHAnsi" w:hAnsiTheme="minorHAnsi" w:cstheme="minorHAnsi"/>
          <w:color w:val="auto"/>
        </w:rPr>
        <w:t>V</w:t>
      </w:r>
      <w:r w:rsidR="00D60C49" w:rsidRPr="00196031">
        <w:rPr>
          <w:rFonts w:asciiTheme="minorHAnsi" w:hAnsiTheme="minorHAnsi" w:cstheme="minorHAnsi"/>
          <w:color w:val="auto"/>
        </w:rPr>
        <w:t>erbeterafspraken die</w:t>
      </w:r>
      <w:r w:rsidR="00FC4FBC" w:rsidRPr="00196031">
        <w:rPr>
          <w:rFonts w:asciiTheme="minorHAnsi" w:hAnsiTheme="minorHAnsi" w:cstheme="minorHAnsi"/>
          <w:color w:val="auto"/>
        </w:rPr>
        <w:t xml:space="preserve"> </w:t>
      </w:r>
      <w:r w:rsidR="001E0673" w:rsidRPr="00196031">
        <w:rPr>
          <w:rFonts w:asciiTheme="minorHAnsi" w:hAnsiTheme="minorHAnsi" w:cstheme="minorHAnsi"/>
          <w:color w:val="auto"/>
        </w:rPr>
        <w:t>daaruit voor</w:t>
      </w:r>
      <w:r w:rsidR="001F0918" w:rsidRPr="00196031">
        <w:rPr>
          <w:rFonts w:asciiTheme="minorHAnsi" w:hAnsiTheme="minorHAnsi" w:cstheme="minorHAnsi"/>
          <w:color w:val="auto"/>
        </w:rPr>
        <w:t>t</w:t>
      </w:r>
      <w:r w:rsidR="001E0673" w:rsidRPr="00196031">
        <w:rPr>
          <w:rFonts w:asciiTheme="minorHAnsi" w:hAnsiTheme="minorHAnsi" w:cstheme="minorHAnsi"/>
          <w:color w:val="auto"/>
        </w:rPr>
        <w:t>komen</w:t>
      </w:r>
      <w:r w:rsidR="001F0918" w:rsidRPr="00196031">
        <w:rPr>
          <w:rFonts w:asciiTheme="minorHAnsi" w:hAnsiTheme="minorHAnsi" w:cstheme="minorHAnsi"/>
          <w:color w:val="auto"/>
        </w:rPr>
        <w:t xml:space="preserve"> moeten</w:t>
      </w:r>
      <w:r w:rsidR="004C7F69" w:rsidRPr="00196031">
        <w:rPr>
          <w:rFonts w:asciiTheme="minorHAnsi" w:hAnsiTheme="minorHAnsi" w:cstheme="minorHAnsi"/>
          <w:color w:val="auto"/>
        </w:rPr>
        <w:t xml:space="preserve"> i</w:t>
      </w:r>
      <w:r w:rsidR="001E0673" w:rsidRPr="00196031">
        <w:rPr>
          <w:rFonts w:asciiTheme="minorHAnsi" w:hAnsiTheme="minorHAnsi" w:cstheme="minorHAnsi"/>
          <w:color w:val="auto"/>
        </w:rPr>
        <w:t xml:space="preserve">n de daarop volgende periode worden </w:t>
      </w:r>
      <w:r w:rsidR="004C7F69" w:rsidRPr="00196031">
        <w:rPr>
          <w:rFonts w:asciiTheme="minorHAnsi" w:hAnsiTheme="minorHAnsi" w:cstheme="minorHAnsi"/>
          <w:color w:val="auto"/>
        </w:rPr>
        <w:t>nagekomen</w:t>
      </w:r>
      <w:r w:rsidR="001E0673" w:rsidRPr="00196031">
        <w:rPr>
          <w:rFonts w:asciiTheme="minorHAnsi" w:hAnsiTheme="minorHAnsi" w:cstheme="minorHAnsi"/>
          <w:color w:val="auto"/>
        </w:rPr>
        <w:t>.</w:t>
      </w:r>
      <w:r w:rsidR="001F0918" w:rsidRPr="00196031">
        <w:rPr>
          <w:rFonts w:asciiTheme="minorHAnsi" w:hAnsiTheme="minorHAnsi" w:cstheme="minorHAnsi"/>
          <w:color w:val="auto"/>
        </w:rPr>
        <w:t xml:space="preserve"> Het opstellen van een plan van aanpak moet jou hierbij helpen, net als mogelijk extra ondersteuning door jouw begeleider(s).</w:t>
      </w:r>
      <w:r w:rsidR="00E54D3B">
        <w:rPr>
          <w:rFonts w:asciiTheme="minorHAnsi" w:hAnsiTheme="minorHAnsi" w:cstheme="minorHAnsi"/>
          <w:color w:val="auto"/>
        </w:rPr>
        <w:br/>
      </w:r>
    </w:p>
    <w:p w14:paraId="116BABC1" w14:textId="03113584" w:rsidR="008B559A" w:rsidRPr="00196031" w:rsidRDefault="001E0673" w:rsidP="00FC4FBC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Wanneer gedurende het eerste studiejaar </w:t>
      </w:r>
      <w:r w:rsidR="004C7F69" w:rsidRPr="00196031">
        <w:rPr>
          <w:rFonts w:asciiTheme="minorHAnsi" w:hAnsiTheme="minorHAnsi" w:cstheme="minorHAnsi"/>
          <w:color w:val="auto"/>
        </w:rPr>
        <w:t>geen verbetering is opgetreden</w:t>
      </w:r>
      <w:r w:rsidRPr="00196031">
        <w:rPr>
          <w:rFonts w:asciiTheme="minorHAnsi" w:hAnsiTheme="minorHAnsi" w:cstheme="minorHAnsi"/>
          <w:color w:val="auto"/>
        </w:rPr>
        <w:t xml:space="preserve"> dan kan de opleiding besluiten jouw </w:t>
      </w:r>
      <w:r w:rsidR="00DB60D1" w:rsidRPr="00196031">
        <w:rPr>
          <w:rFonts w:asciiTheme="minorHAnsi" w:hAnsiTheme="minorHAnsi" w:cstheme="minorHAnsi"/>
          <w:color w:val="auto"/>
        </w:rPr>
        <w:t xml:space="preserve">studie </w:t>
      </w:r>
      <w:r w:rsidRPr="00196031">
        <w:rPr>
          <w:rFonts w:asciiTheme="minorHAnsi" w:hAnsiTheme="minorHAnsi" w:cstheme="minorHAnsi"/>
          <w:color w:val="auto"/>
        </w:rPr>
        <w:t xml:space="preserve">stop te zetten. Uiteraard gebeurt dat niet zomaar of plotseling. </w:t>
      </w:r>
      <w:r w:rsidR="001F0918" w:rsidRPr="00196031">
        <w:rPr>
          <w:rFonts w:asciiTheme="minorHAnsi" w:hAnsiTheme="minorHAnsi" w:cstheme="minorHAnsi"/>
          <w:color w:val="auto"/>
        </w:rPr>
        <w:t xml:space="preserve">Voordat hiertoe kan worden besloten </w:t>
      </w:r>
      <w:r w:rsidRPr="00196031">
        <w:rPr>
          <w:rFonts w:asciiTheme="minorHAnsi" w:hAnsiTheme="minorHAnsi" w:cstheme="minorHAnsi"/>
          <w:color w:val="auto"/>
        </w:rPr>
        <w:t xml:space="preserve">gaat </w:t>
      </w:r>
      <w:r w:rsidR="001F0918" w:rsidRPr="00196031">
        <w:rPr>
          <w:rFonts w:asciiTheme="minorHAnsi" w:hAnsiTheme="minorHAnsi" w:cstheme="minorHAnsi"/>
          <w:color w:val="auto"/>
        </w:rPr>
        <w:t xml:space="preserve">er </w:t>
      </w:r>
      <w:r w:rsidRPr="00196031">
        <w:rPr>
          <w:rFonts w:asciiTheme="minorHAnsi" w:hAnsiTheme="minorHAnsi" w:cstheme="minorHAnsi"/>
          <w:color w:val="auto"/>
        </w:rPr>
        <w:t xml:space="preserve">een vaste procedure gedurende een langere </w:t>
      </w:r>
      <w:r w:rsidR="001F0918" w:rsidRPr="00196031">
        <w:rPr>
          <w:rFonts w:asciiTheme="minorHAnsi" w:hAnsiTheme="minorHAnsi" w:cstheme="minorHAnsi"/>
          <w:color w:val="auto"/>
        </w:rPr>
        <w:t xml:space="preserve">periode </w:t>
      </w:r>
      <w:r w:rsidRPr="00196031">
        <w:rPr>
          <w:rFonts w:asciiTheme="minorHAnsi" w:hAnsiTheme="minorHAnsi" w:cstheme="minorHAnsi"/>
          <w:color w:val="auto"/>
        </w:rPr>
        <w:t>aan vooraf</w:t>
      </w:r>
      <w:r w:rsidR="00253837" w:rsidRPr="00196031">
        <w:rPr>
          <w:rFonts w:asciiTheme="minorHAnsi" w:hAnsiTheme="minorHAnsi" w:cstheme="minorHAnsi"/>
          <w:color w:val="auto"/>
        </w:rPr>
        <w:t>,</w:t>
      </w:r>
      <w:r w:rsidRPr="00196031">
        <w:rPr>
          <w:rFonts w:asciiTheme="minorHAnsi" w:hAnsiTheme="minorHAnsi" w:cstheme="minorHAnsi"/>
          <w:color w:val="auto"/>
        </w:rPr>
        <w:t xml:space="preserve"> bestaande uit meerdere gesprekken en afspraken</w:t>
      </w:r>
      <w:r w:rsidR="001F0918" w:rsidRPr="00196031">
        <w:rPr>
          <w:rFonts w:asciiTheme="minorHAnsi" w:hAnsiTheme="minorHAnsi" w:cstheme="minorHAnsi"/>
          <w:color w:val="auto"/>
        </w:rPr>
        <w:t>.</w:t>
      </w:r>
      <w:r w:rsidRPr="00196031">
        <w:rPr>
          <w:rFonts w:asciiTheme="minorHAnsi" w:hAnsiTheme="minorHAnsi" w:cstheme="minorHAnsi"/>
          <w:color w:val="auto"/>
        </w:rPr>
        <w:t xml:space="preserve"> </w:t>
      </w:r>
    </w:p>
    <w:p w14:paraId="119A3D42" w14:textId="4991361F" w:rsidR="001E0673" w:rsidRPr="00196031" w:rsidRDefault="00A662BC" w:rsidP="00FC4FBC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br/>
      </w:r>
      <w:r w:rsidR="001E0673" w:rsidRPr="00196031">
        <w:rPr>
          <w:rFonts w:asciiTheme="minorHAnsi" w:hAnsiTheme="minorHAnsi" w:cstheme="minorHAnsi"/>
          <w:color w:val="auto"/>
        </w:rPr>
        <w:t>Deze procedure verloopt als volgt:</w:t>
      </w:r>
    </w:p>
    <w:p w14:paraId="52AB972C" w14:textId="77777777" w:rsidR="00932324" w:rsidRPr="00196031" w:rsidRDefault="00932324" w:rsidP="00FC4FBC">
      <w:pPr>
        <w:pStyle w:val="Default"/>
        <w:rPr>
          <w:rFonts w:asciiTheme="minorHAnsi" w:hAnsiTheme="minorHAnsi" w:cstheme="minorHAnsi"/>
          <w:color w:val="auto"/>
        </w:rPr>
      </w:pPr>
    </w:p>
    <w:p w14:paraId="48CB9B46" w14:textId="77777777" w:rsidR="00A662BC" w:rsidRDefault="00A662B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</w:rPr>
        <w:br w:type="page"/>
      </w:r>
    </w:p>
    <w:p w14:paraId="17169E8D" w14:textId="62D60D5D" w:rsidR="008845A9" w:rsidRPr="00196031" w:rsidRDefault="00B61700" w:rsidP="00FC4FBC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b/>
          <w:color w:val="auto"/>
        </w:rPr>
        <w:lastRenderedPageBreak/>
        <w:t>Beoordelingsmoment 1</w:t>
      </w:r>
      <w:r w:rsidR="001E0673" w:rsidRPr="00196031">
        <w:rPr>
          <w:rFonts w:asciiTheme="minorHAnsi" w:hAnsiTheme="minorHAnsi" w:cstheme="minorHAnsi"/>
          <w:color w:val="auto"/>
        </w:rPr>
        <w:t xml:space="preserve">, ná </w:t>
      </w:r>
      <w:r w:rsidR="008845A9" w:rsidRPr="00196031">
        <w:rPr>
          <w:rFonts w:asciiTheme="minorHAnsi" w:hAnsiTheme="minorHAnsi" w:cstheme="minorHAnsi"/>
          <w:color w:val="auto"/>
        </w:rPr>
        <w:t xml:space="preserve">de toetsweek van </w:t>
      </w:r>
      <w:r w:rsidR="001E0673" w:rsidRPr="00196031">
        <w:rPr>
          <w:rFonts w:asciiTheme="minorHAnsi" w:hAnsiTheme="minorHAnsi" w:cstheme="minorHAnsi"/>
          <w:color w:val="auto"/>
        </w:rPr>
        <w:t>periode 1</w:t>
      </w:r>
      <w:r w:rsidR="008845A9" w:rsidRPr="00196031">
        <w:rPr>
          <w:rFonts w:asciiTheme="minorHAnsi" w:hAnsiTheme="minorHAnsi" w:cstheme="minorHAnsi"/>
          <w:color w:val="auto"/>
        </w:rPr>
        <w:t>.</w:t>
      </w:r>
    </w:p>
    <w:p w14:paraId="41DB102E" w14:textId="5D272276" w:rsidR="001E0673" w:rsidRPr="00196031" w:rsidRDefault="008845A9" w:rsidP="00FC4FBC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Deze bestaat uit </w:t>
      </w:r>
      <w:r w:rsidR="00247F78" w:rsidRPr="00196031">
        <w:rPr>
          <w:rFonts w:asciiTheme="minorHAnsi" w:hAnsiTheme="minorHAnsi" w:cstheme="minorHAnsi"/>
          <w:color w:val="auto"/>
        </w:rPr>
        <w:t xml:space="preserve">je eerste </w:t>
      </w:r>
      <w:r w:rsidR="00B61700" w:rsidRPr="00196031">
        <w:rPr>
          <w:rFonts w:asciiTheme="minorHAnsi" w:hAnsiTheme="minorHAnsi" w:cstheme="minorHAnsi"/>
          <w:color w:val="auto"/>
        </w:rPr>
        <w:t>rapport,</w:t>
      </w:r>
      <w:r w:rsidR="00247F78" w:rsidRPr="00196031">
        <w:rPr>
          <w:rFonts w:asciiTheme="minorHAnsi" w:hAnsiTheme="minorHAnsi" w:cstheme="minorHAnsi"/>
          <w:color w:val="auto"/>
        </w:rPr>
        <w:t xml:space="preserve"> met daarin j</w:t>
      </w:r>
      <w:r w:rsidRPr="00196031">
        <w:rPr>
          <w:rFonts w:asciiTheme="minorHAnsi" w:hAnsiTheme="minorHAnsi" w:cstheme="minorHAnsi"/>
          <w:color w:val="auto"/>
        </w:rPr>
        <w:t>e studievoortgang</w:t>
      </w:r>
      <w:r w:rsidR="00E44420" w:rsidRPr="00196031">
        <w:rPr>
          <w:rFonts w:asciiTheme="minorHAnsi" w:hAnsiTheme="minorHAnsi" w:cstheme="minorHAnsi"/>
          <w:color w:val="auto"/>
        </w:rPr>
        <w:t>,</w:t>
      </w:r>
      <w:r w:rsidRPr="00196031">
        <w:rPr>
          <w:rFonts w:asciiTheme="minorHAnsi" w:hAnsiTheme="minorHAnsi" w:cstheme="minorHAnsi"/>
          <w:color w:val="auto"/>
        </w:rPr>
        <w:t xml:space="preserve"> en een </w:t>
      </w:r>
      <w:r w:rsidRPr="00196031">
        <w:rPr>
          <w:rFonts w:asciiTheme="minorHAnsi" w:hAnsiTheme="minorHAnsi" w:cstheme="minorHAnsi"/>
          <w:b/>
          <w:bCs/>
          <w:color w:val="auto"/>
        </w:rPr>
        <w:t>voortgangsgesprek</w:t>
      </w:r>
      <w:r w:rsidR="003D219E" w:rsidRPr="00196031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3D219E" w:rsidRPr="00196031">
        <w:rPr>
          <w:rFonts w:asciiTheme="minorHAnsi" w:hAnsiTheme="minorHAnsi" w:cstheme="minorHAnsi"/>
          <w:color w:val="auto"/>
        </w:rPr>
        <w:t xml:space="preserve">Wanneer je teveel onvoldoendes hebt (zie schema onder) dan maak je </w:t>
      </w:r>
      <w:r w:rsidR="00247F78" w:rsidRPr="00196031">
        <w:rPr>
          <w:rFonts w:asciiTheme="minorHAnsi" w:hAnsiTheme="minorHAnsi" w:cstheme="minorHAnsi"/>
          <w:color w:val="auto"/>
        </w:rPr>
        <w:t>met jouw s</w:t>
      </w:r>
      <w:r w:rsidR="003D219E" w:rsidRPr="00196031">
        <w:rPr>
          <w:rFonts w:asciiTheme="minorHAnsi" w:hAnsiTheme="minorHAnsi" w:cstheme="minorHAnsi"/>
          <w:color w:val="auto"/>
        </w:rPr>
        <w:t xml:space="preserve">tudieloopbaanbegeleider </w:t>
      </w:r>
      <w:r w:rsidR="00730621">
        <w:rPr>
          <w:rFonts w:asciiTheme="minorHAnsi" w:hAnsiTheme="minorHAnsi" w:cstheme="minorHAnsi"/>
          <w:color w:val="auto"/>
        </w:rPr>
        <w:t>(slb’</w:t>
      </w:r>
      <w:r w:rsidR="00247F78" w:rsidRPr="00196031">
        <w:rPr>
          <w:rFonts w:asciiTheme="minorHAnsi" w:hAnsiTheme="minorHAnsi" w:cstheme="minorHAnsi"/>
          <w:color w:val="auto"/>
        </w:rPr>
        <w:t xml:space="preserve">er) </w:t>
      </w:r>
      <w:r w:rsidR="003D219E" w:rsidRPr="00196031">
        <w:rPr>
          <w:rFonts w:asciiTheme="minorHAnsi" w:hAnsiTheme="minorHAnsi" w:cstheme="minorHAnsi"/>
          <w:color w:val="auto"/>
        </w:rPr>
        <w:t xml:space="preserve">afspraken </w:t>
      </w:r>
      <w:r w:rsidR="003D1C50" w:rsidRPr="00196031">
        <w:rPr>
          <w:rFonts w:asciiTheme="minorHAnsi" w:hAnsiTheme="minorHAnsi" w:cstheme="minorHAnsi"/>
          <w:color w:val="auto"/>
        </w:rPr>
        <w:t xml:space="preserve">op </w:t>
      </w:r>
      <w:r w:rsidR="0025372F" w:rsidRPr="00196031">
        <w:rPr>
          <w:rFonts w:asciiTheme="minorHAnsi" w:hAnsiTheme="minorHAnsi" w:cstheme="minorHAnsi"/>
          <w:color w:val="auto"/>
        </w:rPr>
        <w:t>welke punten je verbetering moet laten zien en</w:t>
      </w:r>
      <w:r w:rsidR="003D1C50" w:rsidRPr="00196031">
        <w:rPr>
          <w:rFonts w:asciiTheme="minorHAnsi" w:hAnsiTheme="minorHAnsi" w:cstheme="minorHAnsi"/>
          <w:color w:val="auto"/>
        </w:rPr>
        <w:t xml:space="preserve"> welke </w:t>
      </w:r>
      <w:r w:rsidR="0025372F" w:rsidRPr="00196031">
        <w:rPr>
          <w:rFonts w:asciiTheme="minorHAnsi" w:hAnsiTheme="minorHAnsi" w:cstheme="minorHAnsi"/>
          <w:color w:val="auto"/>
        </w:rPr>
        <w:t xml:space="preserve">ondersteuning </w:t>
      </w:r>
      <w:r w:rsidR="003D1C50" w:rsidRPr="00196031">
        <w:rPr>
          <w:rFonts w:asciiTheme="minorHAnsi" w:hAnsiTheme="minorHAnsi" w:cstheme="minorHAnsi"/>
          <w:color w:val="auto"/>
        </w:rPr>
        <w:t xml:space="preserve">daar eventueel </w:t>
      </w:r>
      <w:r w:rsidR="0025372F" w:rsidRPr="00196031">
        <w:rPr>
          <w:rFonts w:asciiTheme="minorHAnsi" w:hAnsiTheme="minorHAnsi" w:cstheme="minorHAnsi"/>
          <w:color w:val="auto"/>
        </w:rPr>
        <w:t>bij nodig is</w:t>
      </w:r>
      <w:r w:rsidR="003D1C50" w:rsidRPr="00196031">
        <w:rPr>
          <w:rFonts w:asciiTheme="minorHAnsi" w:hAnsiTheme="minorHAnsi" w:cstheme="minorHAnsi"/>
          <w:color w:val="auto"/>
        </w:rPr>
        <w:t>.</w:t>
      </w:r>
      <w:r w:rsidR="00247F78" w:rsidRPr="00196031">
        <w:rPr>
          <w:rFonts w:asciiTheme="minorHAnsi" w:hAnsiTheme="minorHAnsi" w:cstheme="minorHAnsi"/>
          <w:color w:val="auto"/>
        </w:rPr>
        <w:t xml:space="preserve"> Van deze afspraken maakt je </w:t>
      </w:r>
      <w:r w:rsidR="00730621">
        <w:rPr>
          <w:rFonts w:asciiTheme="minorHAnsi" w:hAnsiTheme="minorHAnsi" w:cstheme="minorHAnsi"/>
          <w:color w:val="auto"/>
        </w:rPr>
        <w:t>slb’</w:t>
      </w:r>
      <w:r w:rsidR="00B54DF3" w:rsidRPr="00196031">
        <w:rPr>
          <w:rFonts w:asciiTheme="minorHAnsi" w:hAnsiTheme="minorHAnsi" w:cstheme="minorHAnsi"/>
          <w:color w:val="auto"/>
        </w:rPr>
        <w:t xml:space="preserve">er </w:t>
      </w:r>
      <w:r w:rsidR="00247F78" w:rsidRPr="00196031">
        <w:rPr>
          <w:rFonts w:asciiTheme="minorHAnsi" w:hAnsiTheme="minorHAnsi" w:cstheme="minorHAnsi"/>
          <w:color w:val="auto"/>
        </w:rPr>
        <w:t xml:space="preserve">een notitie in Eduarte. </w:t>
      </w:r>
    </w:p>
    <w:p w14:paraId="07A231DF" w14:textId="77777777" w:rsidR="008845A9" w:rsidRPr="00196031" w:rsidRDefault="008845A9" w:rsidP="00FC4FBC">
      <w:pPr>
        <w:pStyle w:val="Default"/>
        <w:rPr>
          <w:rFonts w:asciiTheme="minorHAnsi" w:hAnsiTheme="minorHAnsi" w:cstheme="minorHAnsi"/>
          <w:color w:val="auto"/>
        </w:rPr>
      </w:pPr>
    </w:p>
    <w:p w14:paraId="03CECC7E" w14:textId="4CB26A3C" w:rsidR="008845A9" w:rsidRPr="00196031" w:rsidRDefault="0018120B" w:rsidP="008845A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b/>
          <w:color w:val="auto"/>
        </w:rPr>
        <w:t>Be</w:t>
      </w:r>
      <w:r w:rsidR="00111FD4" w:rsidRPr="00196031">
        <w:rPr>
          <w:rFonts w:asciiTheme="minorHAnsi" w:hAnsiTheme="minorHAnsi" w:cstheme="minorHAnsi"/>
          <w:b/>
          <w:color w:val="auto"/>
        </w:rPr>
        <w:t>oordelingsmoment 2</w:t>
      </w:r>
      <w:r w:rsidR="008845A9" w:rsidRPr="00196031">
        <w:rPr>
          <w:rFonts w:asciiTheme="minorHAnsi" w:hAnsiTheme="minorHAnsi" w:cstheme="minorHAnsi"/>
          <w:color w:val="auto"/>
        </w:rPr>
        <w:t>, ná de toetsweek van periode 2.</w:t>
      </w:r>
    </w:p>
    <w:p w14:paraId="17FB6E99" w14:textId="768A5510" w:rsidR="001400ED" w:rsidRPr="00196031" w:rsidRDefault="008845A9" w:rsidP="008845A9">
      <w:pPr>
        <w:pStyle w:val="Default"/>
        <w:rPr>
          <w:rFonts w:asciiTheme="minorHAnsi" w:hAnsiTheme="minorHAnsi" w:cstheme="minorHAnsi"/>
          <w:strike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Deze bestaat uit </w:t>
      </w:r>
      <w:r w:rsidR="00B54DF3" w:rsidRPr="00196031">
        <w:rPr>
          <w:rFonts w:asciiTheme="minorHAnsi" w:hAnsiTheme="minorHAnsi" w:cstheme="minorHAnsi"/>
          <w:color w:val="auto"/>
        </w:rPr>
        <w:t xml:space="preserve">je tweede </w:t>
      </w:r>
      <w:r w:rsidRPr="00196031">
        <w:rPr>
          <w:rFonts w:asciiTheme="minorHAnsi" w:hAnsiTheme="minorHAnsi" w:cstheme="minorHAnsi"/>
          <w:color w:val="auto"/>
        </w:rPr>
        <w:t>rapport</w:t>
      </w:r>
      <w:r w:rsidR="00B54DF3" w:rsidRPr="00196031">
        <w:rPr>
          <w:rFonts w:asciiTheme="minorHAnsi" w:hAnsiTheme="minorHAnsi" w:cstheme="minorHAnsi"/>
          <w:color w:val="auto"/>
        </w:rPr>
        <w:t>, met daarin j</w:t>
      </w:r>
      <w:r w:rsidRPr="00196031">
        <w:rPr>
          <w:rFonts w:asciiTheme="minorHAnsi" w:hAnsiTheme="minorHAnsi" w:cstheme="minorHAnsi"/>
          <w:color w:val="auto"/>
        </w:rPr>
        <w:t>e studievoortgang</w:t>
      </w:r>
      <w:r w:rsidR="00E44420" w:rsidRPr="00196031">
        <w:rPr>
          <w:rFonts w:asciiTheme="minorHAnsi" w:hAnsiTheme="minorHAnsi" w:cstheme="minorHAnsi"/>
          <w:color w:val="auto"/>
        </w:rPr>
        <w:t>,</w:t>
      </w:r>
      <w:r w:rsidRPr="00196031">
        <w:rPr>
          <w:rFonts w:asciiTheme="minorHAnsi" w:hAnsiTheme="minorHAnsi" w:cstheme="minorHAnsi"/>
          <w:color w:val="auto"/>
        </w:rPr>
        <w:t xml:space="preserve"> en </w:t>
      </w:r>
      <w:r w:rsidR="004C7F69" w:rsidRPr="00196031">
        <w:rPr>
          <w:rFonts w:asciiTheme="minorHAnsi" w:hAnsiTheme="minorHAnsi" w:cstheme="minorHAnsi"/>
          <w:color w:val="auto"/>
        </w:rPr>
        <w:t xml:space="preserve">het eerste studieadvies. </w:t>
      </w:r>
      <w:r w:rsidR="00B54DF3" w:rsidRPr="00196031">
        <w:rPr>
          <w:rFonts w:asciiTheme="minorHAnsi" w:hAnsiTheme="minorHAnsi" w:cstheme="minorHAnsi"/>
          <w:color w:val="auto"/>
        </w:rPr>
        <w:t xml:space="preserve">In het geval van een negatief advies krijg je een eerste officiële waarschuwing. </w:t>
      </w:r>
      <w:r w:rsidR="00B54DF3" w:rsidRPr="00196031">
        <w:rPr>
          <w:rFonts w:asciiTheme="minorHAnsi" w:hAnsiTheme="minorHAnsi" w:cstheme="minorHAnsi"/>
          <w:color w:val="auto"/>
          <w:shd w:val="clear" w:color="auto" w:fill="FFFFFF"/>
        </w:rPr>
        <w:t>Een negatief</w:t>
      </w:r>
      <w:r w:rsidR="0038130C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 advies krijg je w</w:t>
      </w:r>
      <w:r w:rsidR="00ED0AEA" w:rsidRPr="00196031">
        <w:rPr>
          <w:rFonts w:asciiTheme="minorHAnsi" w:hAnsiTheme="minorHAnsi" w:cstheme="minorHAnsi"/>
          <w:color w:val="auto"/>
          <w:shd w:val="clear" w:color="auto" w:fill="FFFFFF"/>
        </w:rPr>
        <w:t>anneer je vorderingen onvoldoende zijn</w:t>
      </w:r>
      <w:r w:rsidR="0038130C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. Er </w:t>
      </w:r>
      <w:r w:rsidR="00ED0AEA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wordt </w:t>
      </w:r>
      <w:r w:rsidR="0038130C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dan </w:t>
      </w:r>
      <w:r w:rsidR="00ED0AEA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een </w:t>
      </w:r>
      <w:r w:rsidR="00ED0AEA" w:rsidRPr="00196031">
        <w:rPr>
          <w:rFonts w:asciiTheme="minorHAnsi" w:hAnsiTheme="minorHAnsi" w:cstheme="minorHAnsi"/>
          <w:b/>
          <w:bCs/>
          <w:color w:val="auto"/>
          <w:shd w:val="clear" w:color="auto" w:fill="FFFFFF"/>
        </w:rPr>
        <w:t>verbeterplan</w:t>
      </w:r>
      <w:r w:rsidR="00ED0AEA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 opgesteld. Hierin </w:t>
      </w:r>
      <w:r w:rsidR="00730621">
        <w:rPr>
          <w:rFonts w:asciiTheme="minorHAnsi" w:hAnsiTheme="minorHAnsi" w:cstheme="minorHAnsi"/>
          <w:color w:val="auto"/>
          <w:shd w:val="clear" w:color="auto" w:fill="FFFFFF"/>
        </w:rPr>
        <w:t>legt je slb’</w:t>
      </w:r>
      <w:r w:rsidR="00111FD4" w:rsidRPr="00196031">
        <w:rPr>
          <w:rFonts w:asciiTheme="minorHAnsi" w:hAnsiTheme="minorHAnsi" w:cstheme="minorHAnsi"/>
          <w:color w:val="auto"/>
          <w:shd w:val="clear" w:color="auto" w:fill="FFFFFF"/>
        </w:rPr>
        <w:t>er de zaken vast die je dient te verbeteren. Hij legt</w:t>
      </w:r>
      <w:r w:rsidR="00ED0AEA" w:rsidRPr="00196031">
        <w:rPr>
          <w:rFonts w:asciiTheme="minorHAnsi" w:hAnsiTheme="minorHAnsi" w:cstheme="minorHAnsi"/>
          <w:color w:val="auto"/>
          <w:shd w:val="clear" w:color="auto" w:fill="FFFFFF"/>
        </w:rPr>
        <w:t xml:space="preserve"> vast binnen welke termijn de </w:t>
      </w:r>
      <w:r w:rsidR="00111FD4" w:rsidRPr="00196031">
        <w:rPr>
          <w:rFonts w:asciiTheme="minorHAnsi" w:hAnsiTheme="minorHAnsi" w:cstheme="minorHAnsi"/>
          <w:color w:val="auto"/>
          <w:shd w:val="clear" w:color="auto" w:fill="FFFFFF"/>
        </w:rPr>
        <w:t>verbeter</w:t>
      </w:r>
      <w:r w:rsidR="00ED0AEA" w:rsidRPr="00196031">
        <w:rPr>
          <w:rFonts w:asciiTheme="minorHAnsi" w:hAnsiTheme="minorHAnsi" w:cstheme="minorHAnsi"/>
          <w:color w:val="auto"/>
          <w:shd w:val="clear" w:color="auto" w:fill="FFFFFF"/>
        </w:rPr>
        <w:t>punten uit het verbeterplan behaald moeten zijn</w:t>
      </w:r>
      <w:r w:rsidR="007B4D9A" w:rsidRPr="00196031">
        <w:rPr>
          <w:rFonts w:asciiTheme="minorHAnsi" w:hAnsiTheme="minorHAnsi" w:cstheme="minorHAnsi"/>
          <w:color w:val="auto"/>
        </w:rPr>
        <w:t>, al dan niet met extra ondersteuning en advies</w:t>
      </w:r>
      <w:r w:rsidR="00151B20" w:rsidRPr="00196031">
        <w:rPr>
          <w:rFonts w:asciiTheme="minorHAnsi" w:hAnsiTheme="minorHAnsi" w:cstheme="minorHAnsi"/>
          <w:color w:val="auto"/>
        </w:rPr>
        <w:t>.</w:t>
      </w:r>
    </w:p>
    <w:p w14:paraId="48C7DDA3" w14:textId="77777777" w:rsidR="001400ED" w:rsidRPr="00196031" w:rsidRDefault="001400ED" w:rsidP="008845A9">
      <w:pPr>
        <w:pStyle w:val="Default"/>
        <w:rPr>
          <w:rFonts w:asciiTheme="minorHAnsi" w:hAnsiTheme="minorHAnsi" w:cstheme="minorHAnsi"/>
          <w:color w:val="auto"/>
        </w:rPr>
      </w:pPr>
    </w:p>
    <w:p w14:paraId="3CFBC561" w14:textId="3B0D7736" w:rsidR="008845A9" w:rsidRPr="00196031" w:rsidRDefault="008845A9" w:rsidP="008845A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Wanneer wordt besloten jou </w:t>
      </w:r>
      <w:r w:rsidR="007B4D9A" w:rsidRPr="00196031">
        <w:rPr>
          <w:rFonts w:asciiTheme="minorHAnsi" w:hAnsiTheme="minorHAnsi" w:cstheme="minorHAnsi"/>
          <w:color w:val="auto"/>
        </w:rPr>
        <w:t xml:space="preserve">een </w:t>
      </w:r>
      <w:r w:rsidRPr="00196031">
        <w:rPr>
          <w:rFonts w:asciiTheme="minorHAnsi" w:hAnsiTheme="minorHAnsi" w:cstheme="minorHAnsi"/>
          <w:color w:val="auto"/>
        </w:rPr>
        <w:t xml:space="preserve">verbeterplan te geven dan is het </w:t>
      </w:r>
      <w:r w:rsidR="007B4D9A" w:rsidRPr="00196031">
        <w:rPr>
          <w:rFonts w:asciiTheme="minorHAnsi" w:hAnsiTheme="minorHAnsi" w:cstheme="minorHAnsi"/>
          <w:color w:val="auto"/>
        </w:rPr>
        <w:t xml:space="preserve">dus </w:t>
      </w:r>
      <w:r w:rsidRPr="00196031">
        <w:rPr>
          <w:rFonts w:asciiTheme="minorHAnsi" w:hAnsiTheme="minorHAnsi" w:cstheme="minorHAnsi"/>
          <w:color w:val="auto"/>
        </w:rPr>
        <w:t xml:space="preserve">erop of eronder: je zult binnen de </w:t>
      </w:r>
      <w:r w:rsidR="00111FD4" w:rsidRPr="00196031">
        <w:rPr>
          <w:rFonts w:asciiTheme="minorHAnsi" w:hAnsiTheme="minorHAnsi" w:cstheme="minorHAnsi"/>
          <w:color w:val="auto"/>
        </w:rPr>
        <w:t xml:space="preserve">derde </w:t>
      </w:r>
      <w:r w:rsidRPr="00196031">
        <w:rPr>
          <w:rFonts w:asciiTheme="minorHAnsi" w:hAnsiTheme="minorHAnsi" w:cstheme="minorHAnsi"/>
          <w:color w:val="auto"/>
        </w:rPr>
        <w:t xml:space="preserve">periode ervoor moeten zorgen dat </w:t>
      </w:r>
      <w:r w:rsidR="007B4D9A" w:rsidRPr="00196031">
        <w:rPr>
          <w:rFonts w:asciiTheme="minorHAnsi" w:hAnsiTheme="minorHAnsi" w:cstheme="minorHAnsi"/>
          <w:color w:val="auto"/>
        </w:rPr>
        <w:t xml:space="preserve">de </w:t>
      </w:r>
      <w:r w:rsidR="00111FD4" w:rsidRPr="00196031">
        <w:rPr>
          <w:rFonts w:asciiTheme="minorHAnsi" w:hAnsiTheme="minorHAnsi" w:cstheme="minorHAnsi"/>
          <w:color w:val="auto"/>
        </w:rPr>
        <w:t xml:space="preserve">verbeterpunten, </w:t>
      </w:r>
      <w:r w:rsidRPr="00196031">
        <w:rPr>
          <w:rFonts w:asciiTheme="minorHAnsi" w:hAnsiTheme="minorHAnsi" w:cstheme="minorHAnsi"/>
          <w:color w:val="auto"/>
        </w:rPr>
        <w:t>zoals afgesproken in het plan</w:t>
      </w:r>
      <w:r w:rsidR="00111FD4" w:rsidRPr="00196031">
        <w:rPr>
          <w:rFonts w:asciiTheme="minorHAnsi" w:hAnsiTheme="minorHAnsi" w:cstheme="minorHAnsi"/>
          <w:color w:val="auto"/>
        </w:rPr>
        <w:t>,</w:t>
      </w:r>
      <w:r w:rsidRPr="00196031">
        <w:rPr>
          <w:rFonts w:asciiTheme="minorHAnsi" w:hAnsiTheme="minorHAnsi" w:cstheme="minorHAnsi"/>
          <w:color w:val="auto"/>
        </w:rPr>
        <w:t xml:space="preserve"> worden </w:t>
      </w:r>
      <w:r w:rsidR="00111FD4" w:rsidRPr="00196031">
        <w:rPr>
          <w:rFonts w:asciiTheme="minorHAnsi" w:hAnsiTheme="minorHAnsi" w:cstheme="minorHAnsi"/>
          <w:color w:val="auto"/>
        </w:rPr>
        <w:t xml:space="preserve">behaald. </w:t>
      </w:r>
    </w:p>
    <w:p w14:paraId="217A8DD2" w14:textId="77777777" w:rsidR="008845A9" w:rsidRPr="00196031" w:rsidRDefault="008845A9" w:rsidP="008845A9">
      <w:pPr>
        <w:pStyle w:val="Default"/>
        <w:rPr>
          <w:rFonts w:asciiTheme="minorHAnsi" w:hAnsiTheme="minorHAnsi" w:cstheme="minorHAnsi"/>
          <w:color w:val="auto"/>
        </w:rPr>
      </w:pPr>
    </w:p>
    <w:p w14:paraId="31789798" w14:textId="010533C3" w:rsidR="008845A9" w:rsidRPr="00196031" w:rsidRDefault="0018120B" w:rsidP="008845A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b/>
          <w:color w:val="auto"/>
        </w:rPr>
        <w:t>B</w:t>
      </w:r>
      <w:r w:rsidR="00111FD4" w:rsidRPr="00196031">
        <w:rPr>
          <w:rFonts w:asciiTheme="minorHAnsi" w:hAnsiTheme="minorHAnsi" w:cstheme="minorHAnsi"/>
          <w:b/>
          <w:color w:val="auto"/>
        </w:rPr>
        <w:t>eoordelingsmoment 3</w:t>
      </w:r>
      <w:r w:rsidR="008845A9" w:rsidRPr="00196031">
        <w:rPr>
          <w:rFonts w:asciiTheme="minorHAnsi" w:hAnsiTheme="minorHAnsi" w:cstheme="minorHAnsi"/>
          <w:color w:val="auto"/>
        </w:rPr>
        <w:t>, ná de toets- en herkansingsweek in periode 3.</w:t>
      </w:r>
    </w:p>
    <w:p w14:paraId="5EE05DAF" w14:textId="4560536E" w:rsidR="00932324" w:rsidRPr="00196031" w:rsidRDefault="008845A9" w:rsidP="008845A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>De</w:t>
      </w:r>
      <w:r w:rsidR="00317C67" w:rsidRPr="00196031">
        <w:rPr>
          <w:rFonts w:asciiTheme="minorHAnsi" w:hAnsiTheme="minorHAnsi" w:cstheme="minorHAnsi"/>
          <w:color w:val="auto"/>
        </w:rPr>
        <w:t>ze bestaat uit je derde</w:t>
      </w:r>
      <w:r w:rsidRPr="00196031">
        <w:rPr>
          <w:rFonts w:asciiTheme="minorHAnsi" w:hAnsiTheme="minorHAnsi" w:cstheme="minorHAnsi"/>
          <w:color w:val="auto"/>
        </w:rPr>
        <w:t xml:space="preserve"> rapport plus </w:t>
      </w:r>
      <w:r w:rsidR="00151B20" w:rsidRPr="00196031">
        <w:rPr>
          <w:rFonts w:asciiTheme="minorHAnsi" w:hAnsiTheme="minorHAnsi" w:cstheme="minorHAnsi"/>
          <w:color w:val="auto"/>
        </w:rPr>
        <w:t>het</w:t>
      </w:r>
      <w:r w:rsidRPr="00196031">
        <w:rPr>
          <w:rFonts w:asciiTheme="minorHAnsi" w:hAnsiTheme="minorHAnsi" w:cstheme="minorHAnsi"/>
          <w:color w:val="auto"/>
        </w:rPr>
        <w:t xml:space="preserve"> </w:t>
      </w:r>
      <w:r w:rsidRPr="00196031">
        <w:rPr>
          <w:rFonts w:asciiTheme="minorHAnsi" w:hAnsiTheme="minorHAnsi" w:cstheme="minorHAnsi"/>
          <w:b/>
          <w:bCs/>
          <w:color w:val="auto"/>
        </w:rPr>
        <w:t>bindend studieadvies</w:t>
      </w:r>
      <w:r w:rsidR="00151B20" w:rsidRPr="00196031">
        <w:rPr>
          <w:rFonts w:asciiTheme="minorHAnsi" w:hAnsiTheme="minorHAnsi" w:cstheme="minorHAnsi"/>
          <w:color w:val="auto"/>
        </w:rPr>
        <w:t xml:space="preserve"> met </w:t>
      </w:r>
      <w:r w:rsidR="00932324" w:rsidRPr="00196031">
        <w:rPr>
          <w:rFonts w:asciiTheme="minorHAnsi" w:hAnsiTheme="minorHAnsi" w:cstheme="minorHAnsi"/>
          <w:color w:val="auto"/>
        </w:rPr>
        <w:t>twee mogelijke uitkomsten:</w:t>
      </w:r>
    </w:p>
    <w:p w14:paraId="7722D2AA" w14:textId="58EFA309" w:rsidR="008845A9" w:rsidRPr="00196031" w:rsidRDefault="00932324" w:rsidP="008845A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1. </w:t>
      </w:r>
      <w:r w:rsidR="000C1A44" w:rsidRPr="00196031">
        <w:rPr>
          <w:rFonts w:asciiTheme="minorHAnsi" w:hAnsiTheme="minorHAnsi" w:cstheme="minorHAnsi"/>
          <w:color w:val="auto"/>
        </w:rPr>
        <w:t>Ee</w:t>
      </w:r>
      <w:r w:rsidR="00317C67" w:rsidRPr="00196031">
        <w:rPr>
          <w:rFonts w:asciiTheme="minorHAnsi" w:hAnsiTheme="minorHAnsi" w:cstheme="minorHAnsi"/>
          <w:color w:val="auto"/>
        </w:rPr>
        <w:t>n positief bindend studieadvies. Dat wil zeggen;</w:t>
      </w:r>
      <w:r w:rsidR="000C1A44" w:rsidRPr="00196031">
        <w:rPr>
          <w:rFonts w:asciiTheme="minorHAnsi" w:hAnsiTheme="minorHAnsi" w:cstheme="minorHAnsi"/>
          <w:color w:val="auto"/>
        </w:rPr>
        <w:t xml:space="preserve"> </w:t>
      </w:r>
      <w:r w:rsidR="00C91318" w:rsidRPr="00196031">
        <w:rPr>
          <w:rFonts w:asciiTheme="minorHAnsi" w:hAnsiTheme="minorHAnsi" w:cstheme="minorHAnsi"/>
          <w:color w:val="auto"/>
        </w:rPr>
        <w:t xml:space="preserve">we hebben er vertrouwen in dat </w:t>
      </w:r>
      <w:r w:rsidR="000C1A44" w:rsidRPr="00196031">
        <w:rPr>
          <w:rFonts w:asciiTheme="minorHAnsi" w:hAnsiTheme="minorHAnsi" w:cstheme="minorHAnsi"/>
          <w:color w:val="auto"/>
        </w:rPr>
        <w:t>j</w:t>
      </w:r>
      <w:r w:rsidRPr="00196031">
        <w:rPr>
          <w:rFonts w:asciiTheme="minorHAnsi" w:hAnsiTheme="minorHAnsi" w:cstheme="minorHAnsi"/>
          <w:color w:val="auto"/>
        </w:rPr>
        <w:t xml:space="preserve">e de opleiding </w:t>
      </w:r>
      <w:r w:rsidR="00C91318" w:rsidRPr="00196031">
        <w:rPr>
          <w:rFonts w:asciiTheme="minorHAnsi" w:hAnsiTheme="minorHAnsi" w:cstheme="minorHAnsi"/>
          <w:color w:val="auto"/>
        </w:rPr>
        <w:t xml:space="preserve">kunt </w:t>
      </w:r>
      <w:r w:rsidRPr="00196031">
        <w:rPr>
          <w:rFonts w:asciiTheme="minorHAnsi" w:hAnsiTheme="minorHAnsi" w:cstheme="minorHAnsi"/>
          <w:color w:val="auto"/>
        </w:rPr>
        <w:t xml:space="preserve"> voortzetten</w:t>
      </w:r>
      <w:r w:rsidR="00C91318" w:rsidRPr="00196031">
        <w:rPr>
          <w:rFonts w:asciiTheme="minorHAnsi" w:hAnsiTheme="minorHAnsi" w:cstheme="minorHAnsi"/>
          <w:color w:val="auto"/>
        </w:rPr>
        <w:t>.</w:t>
      </w:r>
    </w:p>
    <w:p w14:paraId="44725AB7" w14:textId="6CDA77D2" w:rsidR="00932324" w:rsidRPr="00196031" w:rsidRDefault="00932324" w:rsidP="008845A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2. </w:t>
      </w:r>
      <w:r w:rsidR="000C1A44" w:rsidRPr="00196031">
        <w:rPr>
          <w:rFonts w:asciiTheme="minorHAnsi" w:hAnsiTheme="minorHAnsi" w:cstheme="minorHAnsi"/>
          <w:color w:val="auto"/>
        </w:rPr>
        <w:t>Ee</w:t>
      </w:r>
      <w:r w:rsidR="00317C67" w:rsidRPr="00196031">
        <w:rPr>
          <w:rFonts w:asciiTheme="minorHAnsi" w:hAnsiTheme="minorHAnsi" w:cstheme="minorHAnsi"/>
          <w:color w:val="auto"/>
        </w:rPr>
        <w:t>n negatief bindend studieadvies. D</w:t>
      </w:r>
      <w:r w:rsidR="000C1A44" w:rsidRPr="00196031">
        <w:rPr>
          <w:rFonts w:asciiTheme="minorHAnsi" w:hAnsiTheme="minorHAnsi" w:cstheme="minorHAnsi"/>
          <w:color w:val="auto"/>
        </w:rPr>
        <w:t>at wil ze</w:t>
      </w:r>
      <w:r w:rsidR="00317C67" w:rsidRPr="00196031">
        <w:rPr>
          <w:rFonts w:asciiTheme="minorHAnsi" w:hAnsiTheme="minorHAnsi" w:cstheme="minorHAnsi"/>
          <w:color w:val="auto"/>
        </w:rPr>
        <w:t>ggen;</w:t>
      </w:r>
      <w:r w:rsidR="000C1A44" w:rsidRPr="00196031">
        <w:rPr>
          <w:rFonts w:asciiTheme="minorHAnsi" w:hAnsiTheme="minorHAnsi" w:cstheme="minorHAnsi"/>
          <w:color w:val="auto"/>
        </w:rPr>
        <w:t xml:space="preserve"> j</w:t>
      </w:r>
      <w:r w:rsidRPr="00196031">
        <w:rPr>
          <w:rFonts w:asciiTheme="minorHAnsi" w:hAnsiTheme="minorHAnsi" w:cstheme="minorHAnsi"/>
          <w:color w:val="auto"/>
        </w:rPr>
        <w:t xml:space="preserve">e dient </w:t>
      </w:r>
      <w:r w:rsidR="00317C67" w:rsidRPr="00196031">
        <w:rPr>
          <w:rFonts w:asciiTheme="minorHAnsi" w:hAnsiTheme="minorHAnsi" w:cstheme="minorHAnsi"/>
          <w:color w:val="auto"/>
        </w:rPr>
        <w:t xml:space="preserve">met </w:t>
      </w:r>
      <w:r w:rsidRPr="00196031">
        <w:rPr>
          <w:rFonts w:asciiTheme="minorHAnsi" w:hAnsiTheme="minorHAnsi" w:cstheme="minorHAnsi"/>
          <w:color w:val="auto"/>
        </w:rPr>
        <w:t xml:space="preserve">de opleiding </w:t>
      </w:r>
      <w:r w:rsidR="00E4745E" w:rsidRPr="00196031">
        <w:rPr>
          <w:rFonts w:asciiTheme="minorHAnsi" w:hAnsiTheme="minorHAnsi" w:cstheme="minorHAnsi"/>
          <w:color w:val="auto"/>
        </w:rPr>
        <w:t xml:space="preserve">te </w:t>
      </w:r>
      <w:r w:rsidRPr="00196031">
        <w:rPr>
          <w:rFonts w:asciiTheme="minorHAnsi" w:hAnsiTheme="minorHAnsi" w:cstheme="minorHAnsi"/>
          <w:color w:val="auto"/>
        </w:rPr>
        <w:t>stoppen. Dit geldt alleen voor díe studenten die na het ontvangen van een verbeterplan uit de 2e beoordeling het niet is gelukt de afgesproken verbeteringen te realiseren.</w:t>
      </w:r>
    </w:p>
    <w:p w14:paraId="605EFDDB" w14:textId="373DB73D" w:rsidR="00C91318" w:rsidRPr="00196031" w:rsidRDefault="00C91318" w:rsidP="008845A9">
      <w:pPr>
        <w:pStyle w:val="Default"/>
        <w:rPr>
          <w:rFonts w:asciiTheme="minorHAnsi" w:hAnsiTheme="minorHAnsi" w:cstheme="minorHAnsi"/>
          <w:color w:val="auto"/>
        </w:rPr>
      </w:pPr>
    </w:p>
    <w:p w14:paraId="55AB8297" w14:textId="189BE921" w:rsidR="00C91318" w:rsidRPr="00196031" w:rsidRDefault="00C91318" w:rsidP="008845A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Bij een negatief bindend </w:t>
      </w:r>
      <w:r w:rsidR="00317C67" w:rsidRPr="00196031">
        <w:rPr>
          <w:rFonts w:asciiTheme="minorHAnsi" w:hAnsiTheme="minorHAnsi" w:cstheme="minorHAnsi"/>
          <w:color w:val="auto"/>
        </w:rPr>
        <w:t>studiead</w:t>
      </w:r>
      <w:r w:rsidRPr="00196031">
        <w:rPr>
          <w:rFonts w:asciiTheme="minorHAnsi" w:hAnsiTheme="minorHAnsi" w:cstheme="minorHAnsi"/>
          <w:color w:val="auto"/>
        </w:rPr>
        <w:t xml:space="preserve">vies zal de opleiding dit schriftelijk kenbaar maken, inclusief onderbouwing. </w:t>
      </w:r>
      <w:r w:rsidR="00317C67" w:rsidRPr="00196031">
        <w:rPr>
          <w:rFonts w:asciiTheme="minorHAnsi" w:hAnsiTheme="minorHAnsi" w:cstheme="minorHAnsi"/>
          <w:color w:val="auto"/>
        </w:rPr>
        <w:t>Wanneer je als student het niet eens bent</w:t>
      </w:r>
      <w:r w:rsidR="00CD6207" w:rsidRPr="00196031">
        <w:rPr>
          <w:rFonts w:asciiTheme="minorHAnsi" w:hAnsiTheme="minorHAnsi" w:cstheme="minorHAnsi"/>
          <w:color w:val="auto"/>
        </w:rPr>
        <w:t xml:space="preserve"> met dit advies </w:t>
      </w:r>
      <w:r w:rsidR="00317C67" w:rsidRPr="00196031">
        <w:rPr>
          <w:rFonts w:asciiTheme="minorHAnsi" w:hAnsiTheme="minorHAnsi" w:cstheme="minorHAnsi"/>
          <w:color w:val="auto"/>
        </w:rPr>
        <w:t xml:space="preserve">kun je </w:t>
      </w:r>
      <w:r w:rsidR="00CD6207" w:rsidRPr="00196031">
        <w:rPr>
          <w:rFonts w:asciiTheme="minorHAnsi" w:hAnsiTheme="minorHAnsi" w:cstheme="minorHAnsi"/>
          <w:color w:val="auto"/>
        </w:rPr>
        <w:t>ertegen in beroep gaan.</w:t>
      </w:r>
      <w:r w:rsidR="00317C67" w:rsidRPr="00196031">
        <w:rPr>
          <w:rFonts w:asciiTheme="minorHAnsi" w:hAnsiTheme="minorHAnsi" w:cstheme="minorHAnsi"/>
          <w:color w:val="auto"/>
        </w:rPr>
        <w:t xml:space="preserve"> </w:t>
      </w:r>
      <w:r w:rsidR="00CD6207" w:rsidRPr="00196031">
        <w:rPr>
          <w:rFonts w:asciiTheme="minorHAnsi" w:hAnsiTheme="minorHAnsi" w:cstheme="minorHAnsi"/>
          <w:color w:val="auto"/>
        </w:rPr>
        <w:t xml:space="preserve">Voordat </w:t>
      </w:r>
      <w:r w:rsidR="00317C67" w:rsidRPr="00196031">
        <w:rPr>
          <w:rFonts w:asciiTheme="minorHAnsi" w:hAnsiTheme="minorHAnsi" w:cstheme="minorHAnsi"/>
          <w:color w:val="auto"/>
        </w:rPr>
        <w:t>je als</w:t>
      </w:r>
      <w:r w:rsidR="00CD6207" w:rsidRPr="00196031">
        <w:rPr>
          <w:rFonts w:asciiTheme="minorHAnsi" w:hAnsiTheme="minorHAnsi" w:cstheme="minorHAnsi"/>
          <w:color w:val="auto"/>
        </w:rPr>
        <w:t xml:space="preserve"> student de opleiding verlaat </w:t>
      </w:r>
      <w:r w:rsidR="00317C67" w:rsidRPr="00196031">
        <w:rPr>
          <w:rFonts w:asciiTheme="minorHAnsi" w:hAnsiTheme="minorHAnsi" w:cstheme="minorHAnsi"/>
          <w:color w:val="auto"/>
        </w:rPr>
        <w:t xml:space="preserve">volgt nog een gesprek met een medewerker van het Trajectbureau van Albeda. Het doel van dit gesprek is een oriëntatie op </w:t>
      </w:r>
      <w:r w:rsidRPr="00196031">
        <w:rPr>
          <w:rFonts w:asciiTheme="minorHAnsi" w:hAnsiTheme="minorHAnsi" w:cstheme="minorHAnsi"/>
          <w:color w:val="auto"/>
        </w:rPr>
        <w:t xml:space="preserve">een mogelijk andere opleiding, </w:t>
      </w:r>
      <w:r w:rsidR="00CD6207" w:rsidRPr="00196031">
        <w:rPr>
          <w:rFonts w:asciiTheme="minorHAnsi" w:hAnsiTheme="minorHAnsi" w:cstheme="minorHAnsi"/>
          <w:color w:val="auto"/>
        </w:rPr>
        <w:t xml:space="preserve">eventueel </w:t>
      </w:r>
      <w:r w:rsidRPr="00196031">
        <w:rPr>
          <w:rFonts w:asciiTheme="minorHAnsi" w:hAnsiTheme="minorHAnsi" w:cstheme="minorHAnsi"/>
          <w:color w:val="auto"/>
        </w:rPr>
        <w:t xml:space="preserve">binnen Albeda. </w:t>
      </w:r>
    </w:p>
    <w:p w14:paraId="36F79399" w14:textId="77777777" w:rsidR="00490D5F" w:rsidRPr="00196031" w:rsidRDefault="00490D5F" w:rsidP="008845A9">
      <w:pPr>
        <w:pStyle w:val="Default"/>
        <w:rPr>
          <w:rFonts w:asciiTheme="minorHAnsi" w:hAnsiTheme="minorHAnsi" w:cstheme="minorHAnsi"/>
          <w:color w:val="auto"/>
        </w:rPr>
      </w:pPr>
    </w:p>
    <w:p w14:paraId="1BE06AC0" w14:textId="568C0B4D" w:rsidR="00932324" w:rsidRPr="00196031" w:rsidRDefault="00317C67" w:rsidP="008845A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Als je </w:t>
      </w:r>
      <w:r w:rsidR="000D1136" w:rsidRPr="00196031">
        <w:rPr>
          <w:rFonts w:asciiTheme="minorHAnsi" w:hAnsiTheme="minorHAnsi" w:cstheme="minorHAnsi"/>
          <w:color w:val="auto"/>
        </w:rPr>
        <w:t>tijdens het tweede</w:t>
      </w:r>
      <w:r w:rsidR="00932324" w:rsidRPr="00196031">
        <w:rPr>
          <w:rFonts w:asciiTheme="minorHAnsi" w:hAnsiTheme="minorHAnsi" w:cstheme="minorHAnsi"/>
          <w:color w:val="auto"/>
        </w:rPr>
        <w:t xml:space="preserve"> beoordeling</w:t>
      </w:r>
      <w:r w:rsidR="000D1136" w:rsidRPr="00196031">
        <w:rPr>
          <w:rFonts w:asciiTheme="minorHAnsi" w:hAnsiTheme="minorHAnsi" w:cstheme="minorHAnsi"/>
          <w:color w:val="auto"/>
        </w:rPr>
        <w:t>smoment</w:t>
      </w:r>
      <w:r w:rsidR="00932324" w:rsidRPr="00196031">
        <w:rPr>
          <w:rFonts w:asciiTheme="minorHAnsi" w:hAnsiTheme="minorHAnsi" w:cstheme="minorHAnsi"/>
          <w:color w:val="auto"/>
        </w:rPr>
        <w:t xml:space="preserve"> geen verbeterplan heb</w:t>
      </w:r>
      <w:r w:rsidRPr="00196031">
        <w:rPr>
          <w:rFonts w:asciiTheme="minorHAnsi" w:hAnsiTheme="minorHAnsi" w:cstheme="minorHAnsi"/>
          <w:color w:val="auto"/>
        </w:rPr>
        <w:t xml:space="preserve">t </w:t>
      </w:r>
      <w:r w:rsidR="00932324" w:rsidRPr="00196031">
        <w:rPr>
          <w:rFonts w:asciiTheme="minorHAnsi" w:hAnsiTheme="minorHAnsi" w:cstheme="minorHAnsi"/>
          <w:color w:val="auto"/>
        </w:rPr>
        <w:t xml:space="preserve">gekregen val </w:t>
      </w:r>
      <w:r w:rsidR="000D1136" w:rsidRPr="00196031">
        <w:rPr>
          <w:rFonts w:asciiTheme="minorHAnsi" w:hAnsiTheme="minorHAnsi" w:cstheme="minorHAnsi"/>
          <w:color w:val="auto"/>
        </w:rPr>
        <w:t xml:space="preserve">je </w:t>
      </w:r>
      <w:r w:rsidR="00932324" w:rsidRPr="00196031">
        <w:rPr>
          <w:rFonts w:asciiTheme="minorHAnsi" w:hAnsiTheme="minorHAnsi" w:cstheme="minorHAnsi"/>
          <w:color w:val="auto"/>
        </w:rPr>
        <w:t xml:space="preserve">automatisch onder uitkomst 1. </w:t>
      </w:r>
      <w:r w:rsidR="000D1136" w:rsidRPr="00196031">
        <w:rPr>
          <w:rFonts w:asciiTheme="minorHAnsi" w:hAnsiTheme="minorHAnsi" w:cstheme="minorHAnsi"/>
          <w:color w:val="auto"/>
        </w:rPr>
        <w:t xml:space="preserve">Je krijgt dan een positief studieadvies. </w:t>
      </w:r>
      <w:r w:rsidR="00932324" w:rsidRPr="00196031">
        <w:rPr>
          <w:rFonts w:asciiTheme="minorHAnsi" w:hAnsiTheme="minorHAnsi" w:cstheme="minorHAnsi"/>
          <w:color w:val="auto"/>
        </w:rPr>
        <w:t xml:space="preserve">Dit betekent overigens niet dat </w:t>
      </w:r>
      <w:r w:rsidR="000D1136" w:rsidRPr="00196031">
        <w:rPr>
          <w:rFonts w:asciiTheme="minorHAnsi" w:hAnsiTheme="minorHAnsi" w:cstheme="minorHAnsi"/>
          <w:color w:val="auto"/>
        </w:rPr>
        <w:t xml:space="preserve">je </w:t>
      </w:r>
      <w:r w:rsidR="00932324" w:rsidRPr="00196031">
        <w:rPr>
          <w:rFonts w:asciiTheme="minorHAnsi" w:hAnsiTheme="minorHAnsi" w:cstheme="minorHAnsi"/>
          <w:color w:val="auto"/>
        </w:rPr>
        <w:t xml:space="preserve">gegarandeerd </w:t>
      </w:r>
      <w:r w:rsidR="000C1A44" w:rsidRPr="00196031">
        <w:rPr>
          <w:rFonts w:asciiTheme="minorHAnsi" w:hAnsiTheme="minorHAnsi" w:cstheme="minorHAnsi"/>
          <w:color w:val="auto"/>
        </w:rPr>
        <w:t>door</w:t>
      </w:r>
      <w:r w:rsidR="00932324" w:rsidRPr="00196031">
        <w:rPr>
          <w:rFonts w:asciiTheme="minorHAnsi" w:hAnsiTheme="minorHAnsi" w:cstheme="minorHAnsi"/>
          <w:color w:val="auto"/>
        </w:rPr>
        <w:t xml:space="preserve"> </w:t>
      </w:r>
      <w:r w:rsidR="000D1136" w:rsidRPr="00196031">
        <w:rPr>
          <w:rFonts w:asciiTheme="minorHAnsi" w:hAnsiTheme="minorHAnsi" w:cstheme="minorHAnsi"/>
          <w:color w:val="auto"/>
        </w:rPr>
        <w:t>bent naar het 2e leerjaar. M</w:t>
      </w:r>
      <w:r w:rsidR="00932324" w:rsidRPr="00196031">
        <w:rPr>
          <w:rFonts w:asciiTheme="minorHAnsi" w:hAnsiTheme="minorHAnsi" w:cstheme="minorHAnsi"/>
          <w:color w:val="auto"/>
        </w:rPr>
        <w:t>ogelijk moeten er vakken of opdrachten worden</w:t>
      </w:r>
      <w:r w:rsidR="007B4D9A" w:rsidRPr="00196031">
        <w:rPr>
          <w:rFonts w:asciiTheme="minorHAnsi" w:hAnsiTheme="minorHAnsi" w:cstheme="minorHAnsi"/>
          <w:color w:val="auto"/>
        </w:rPr>
        <w:t xml:space="preserve"> herhaald of ingehaald en loop je studievertraging op.</w:t>
      </w:r>
    </w:p>
    <w:p w14:paraId="6C3C7896" w14:textId="77777777" w:rsidR="00237454" w:rsidRPr="00196031" w:rsidRDefault="00237454" w:rsidP="0023745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0AEC5288" w14:textId="77777777" w:rsidR="00A662BC" w:rsidRDefault="00A662B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</w:rPr>
        <w:br w:type="page"/>
      </w:r>
    </w:p>
    <w:p w14:paraId="66EAFE9D" w14:textId="4610BB40" w:rsidR="00237454" w:rsidRPr="00196031" w:rsidRDefault="00237454" w:rsidP="00237454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b/>
          <w:bCs/>
          <w:color w:val="auto"/>
        </w:rPr>
        <w:lastRenderedPageBreak/>
        <w:t xml:space="preserve">Voortgangscriteria </w:t>
      </w:r>
    </w:p>
    <w:p w14:paraId="2C4DA9CE" w14:textId="3537DC5C" w:rsidR="00C54CFC" w:rsidRPr="00196031" w:rsidRDefault="000C1A44" w:rsidP="00D5272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Je krijgt tijdens </w:t>
      </w:r>
      <w:r w:rsidR="000D1136" w:rsidRPr="00196031">
        <w:rPr>
          <w:rFonts w:asciiTheme="minorHAnsi" w:hAnsiTheme="minorHAnsi" w:cstheme="minorHAnsi"/>
          <w:color w:val="auto"/>
        </w:rPr>
        <w:t xml:space="preserve">je tweede </w:t>
      </w:r>
      <w:r w:rsidRPr="00196031">
        <w:rPr>
          <w:rFonts w:asciiTheme="minorHAnsi" w:hAnsiTheme="minorHAnsi" w:cstheme="minorHAnsi"/>
          <w:color w:val="auto"/>
        </w:rPr>
        <w:t>beoordeling</w:t>
      </w:r>
      <w:r w:rsidR="000D1136" w:rsidRPr="00196031">
        <w:rPr>
          <w:rFonts w:asciiTheme="minorHAnsi" w:hAnsiTheme="minorHAnsi" w:cstheme="minorHAnsi"/>
          <w:color w:val="auto"/>
        </w:rPr>
        <w:t xml:space="preserve">smoment </w:t>
      </w:r>
      <w:r w:rsidRPr="00196031">
        <w:rPr>
          <w:rFonts w:asciiTheme="minorHAnsi" w:hAnsiTheme="minorHAnsi" w:cstheme="minorHAnsi"/>
          <w:color w:val="auto"/>
        </w:rPr>
        <w:t xml:space="preserve">niet zomaar een verbeterplan. De opleiding hanteert criteria die duidelijk maken </w:t>
      </w:r>
      <w:r w:rsidR="008145CE" w:rsidRPr="00196031">
        <w:rPr>
          <w:rFonts w:asciiTheme="minorHAnsi" w:hAnsiTheme="minorHAnsi" w:cstheme="minorHAnsi"/>
          <w:color w:val="auto"/>
        </w:rPr>
        <w:t>wanneer dat</w:t>
      </w:r>
      <w:r w:rsidRPr="00196031">
        <w:rPr>
          <w:rFonts w:asciiTheme="minorHAnsi" w:hAnsiTheme="minorHAnsi" w:cstheme="minorHAnsi"/>
          <w:color w:val="auto"/>
        </w:rPr>
        <w:t xml:space="preserve"> </w:t>
      </w:r>
      <w:r w:rsidR="004B5D99" w:rsidRPr="00196031">
        <w:rPr>
          <w:rFonts w:asciiTheme="minorHAnsi" w:hAnsiTheme="minorHAnsi" w:cstheme="minorHAnsi"/>
          <w:color w:val="auto"/>
        </w:rPr>
        <w:t xml:space="preserve">echt noodzakelijk en dus </w:t>
      </w:r>
      <w:r w:rsidRPr="00196031">
        <w:rPr>
          <w:rFonts w:asciiTheme="minorHAnsi" w:hAnsiTheme="minorHAnsi" w:cstheme="minorHAnsi"/>
          <w:color w:val="auto"/>
        </w:rPr>
        <w:t>gerechtvaardigd is.</w:t>
      </w:r>
      <w:r w:rsidR="002E0698" w:rsidRPr="00196031">
        <w:rPr>
          <w:rFonts w:asciiTheme="minorHAnsi" w:hAnsiTheme="minorHAnsi" w:cstheme="minorHAnsi"/>
          <w:color w:val="auto"/>
        </w:rPr>
        <w:t xml:space="preserve"> </w:t>
      </w:r>
      <w:r w:rsidR="007B4D9A" w:rsidRPr="00196031">
        <w:rPr>
          <w:rFonts w:asciiTheme="minorHAnsi" w:hAnsiTheme="minorHAnsi" w:cstheme="minorHAnsi"/>
          <w:color w:val="auto"/>
        </w:rPr>
        <w:t xml:space="preserve">Je krijgt een verbeterplan als de gemaakte verbeterafspraken die zijn vastgelegd bij het eerste </w:t>
      </w:r>
      <w:r w:rsidR="000D1136" w:rsidRPr="00196031">
        <w:rPr>
          <w:rFonts w:asciiTheme="minorHAnsi" w:hAnsiTheme="minorHAnsi" w:cstheme="minorHAnsi"/>
          <w:color w:val="auto"/>
        </w:rPr>
        <w:t>beoordelings</w:t>
      </w:r>
      <w:r w:rsidR="007B4D9A" w:rsidRPr="00196031">
        <w:rPr>
          <w:rFonts w:asciiTheme="minorHAnsi" w:hAnsiTheme="minorHAnsi" w:cstheme="minorHAnsi"/>
          <w:color w:val="auto"/>
        </w:rPr>
        <w:t xml:space="preserve">moment niet zijn nagekomen. </w:t>
      </w:r>
    </w:p>
    <w:p w14:paraId="6F9BCC82" w14:textId="77777777" w:rsidR="00F11B4E" w:rsidRPr="00196031" w:rsidRDefault="00F11B4E" w:rsidP="00D52729">
      <w:pPr>
        <w:pStyle w:val="Default"/>
        <w:rPr>
          <w:rFonts w:asciiTheme="minorHAnsi" w:hAnsiTheme="minorHAnsi" w:cstheme="minorHAnsi"/>
          <w:color w:val="auto"/>
        </w:rPr>
      </w:pPr>
    </w:p>
    <w:p w14:paraId="0D7A6890" w14:textId="43DA2C2A" w:rsidR="000C1A44" w:rsidRPr="00196031" w:rsidRDefault="000C1A44" w:rsidP="00D5272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>Wij beoordelen elke student volgens drie pijlers:</w:t>
      </w:r>
    </w:p>
    <w:p w14:paraId="23DD18C8" w14:textId="5A9BC7D6" w:rsidR="000C1A44" w:rsidRPr="00196031" w:rsidRDefault="000C1A44" w:rsidP="00D5272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>1. Cycle</w:t>
      </w:r>
      <w:r w:rsidR="004B5D99" w:rsidRPr="00196031">
        <w:rPr>
          <w:rFonts w:asciiTheme="minorHAnsi" w:hAnsiTheme="minorHAnsi" w:cstheme="minorHAnsi"/>
          <w:color w:val="auto"/>
        </w:rPr>
        <w:t xml:space="preserve"> (de eigen muziek)</w:t>
      </w:r>
      <w:r w:rsidRPr="00196031">
        <w:rPr>
          <w:rFonts w:asciiTheme="minorHAnsi" w:hAnsiTheme="minorHAnsi" w:cstheme="minorHAnsi"/>
          <w:color w:val="auto"/>
        </w:rPr>
        <w:t>. Deze weegt het zwaarst en moet sowieso voldoende zijn.</w:t>
      </w:r>
    </w:p>
    <w:p w14:paraId="254E5501" w14:textId="77777777" w:rsidR="004B5D99" w:rsidRPr="00196031" w:rsidRDefault="004B5D99" w:rsidP="00D52729">
      <w:pPr>
        <w:pStyle w:val="Default"/>
        <w:rPr>
          <w:rFonts w:asciiTheme="minorHAnsi" w:hAnsiTheme="minorHAnsi" w:cstheme="minorHAnsi"/>
          <w:color w:val="auto"/>
        </w:rPr>
      </w:pPr>
    </w:p>
    <w:p w14:paraId="32DA6BD8" w14:textId="77777777" w:rsidR="000B21BA" w:rsidRPr="000B21BA" w:rsidRDefault="000C1A44" w:rsidP="000B21BA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2. </w:t>
      </w:r>
      <w:r w:rsidR="004B5D99" w:rsidRPr="00196031">
        <w:rPr>
          <w:rFonts w:asciiTheme="minorHAnsi" w:hAnsiTheme="minorHAnsi" w:cstheme="minorHAnsi"/>
          <w:color w:val="auto"/>
        </w:rPr>
        <w:t>Ondersteunende</w:t>
      </w:r>
      <w:r w:rsidRPr="00196031">
        <w:rPr>
          <w:rFonts w:asciiTheme="minorHAnsi" w:hAnsiTheme="minorHAnsi" w:cstheme="minorHAnsi"/>
          <w:color w:val="auto"/>
        </w:rPr>
        <w:t xml:space="preserve"> vakken. </w:t>
      </w:r>
      <w:r w:rsidR="000B21BA" w:rsidRPr="000B21BA">
        <w:rPr>
          <w:rFonts w:asciiTheme="minorHAnsi" w:hAnsiTheme="minorHAnsi" w:cstheme="minorHAnsi"/>
          <w:color w:val="auto"/>
        </w:rPr>
        <w:t>De ondersteunende vakken worden als één geheel positief beoordeeld wanneer je maximaal 4 onvoldoendes (O) hebt. Er is een aanvullende voorwaarde: Voor de cijfers van Rekenen, Nederlands en Engels geldt dat één hiervan minimaal een 5 mag zijn als de overige twee cijfers een 6 of hoger zijn. </w:t>
      </w:r>
    </w:p>
    <w:p w14:paraId="64605878" w14:textId="00680AB9" w:rsidR="004B5D99" w:rsidRPr="00196031" w:rsidRDefault="004B5D99" w:rsidP="00D52729">
      <w:pPr>
        <w:pStyle w:val="Default"/>
        <w:rPr>
          <w:rFonts w:asciiTheme="minorHAnsi" w:hAnsiTheme="minorHAnsi" w:cstheme="minorHAnsi"/>
          <w:color w:val="auto"/>
        </w:rPr>
      </w:pPr>
    </w:p>
    <w:p w14:paraId="5646C8BD" w14:textId="54E77BB0" w:rsidR="000C1A44" w:rsidRPr="00196031" w:rsidRDefault="000C1A44" w:rsidP="00D5272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3. Beroepshouding. Deze pijler bestaat uit een optelsom van </w:t>
      </w:r>
      <w:r w:rsidR="000B1646">
        <w:rPr>
          <w:rFonts w:asciiTheme="minorHAnsi" w:hAnsiTheme="minorHAnsi" w:cstheme="minorHAnsi"/>
          <w:color w:val="auto"/>
        </w:rPr>
        <w:t>vier</w:t>
      </w:r>
      <w:r w:rsidR="000D1136" w:rsidRPr="00196031">
        <w:rPr>
          <w:rFonts w:asciiTheme="minorHAnsi" w:hAnsiTheme="minorHAnsi" w:cstheme="minorHAnsi"/>
          <w:color w:val="auto"/>
        </w:rPr>
        <w:t xml:space="preserve"> onderdelen </w:t>
      </w:r>
      <w:r w:rsidRPr="00196031">
        <w:rPr>
          <w:rFonts w:asciiTheme="minorHAnsi" w:hAnsiTheme="minorHAnsi" w:cstheme="minorHAnsi"/>
          <w:color w:val="auto"/>
        </w:rPr>
        <w:t>die allemaal voldoende moeten zijn</w:t>
      </w:r>
      <w:r w:rsidR="004B5D99" w:rsidRPr="00196031">
        <w:rPr>
          <w:rFonts w:asciiTheme="minorHAnsi" w:hAnsiTheme="minorHAnsi" w:cstheme="minorHAnsi"/>
          <w:color w:val="auto"/>
        </w:rPr>
        <w:t>:</w:t>
      </w:r>
    </w:p>
    <w:p w14:paraId="5ECCDB79" w14:textId="0819CCC3" w:rsidR="000C1A44" w:rsidRPr="00196031" w:rsidRDefault="000C1A44" w:rsidP="00D5272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>- aanwezigheid (minimaal 80%)</w:t>
      </w:r>
    </w:p>
    <w:p w14:paraId="60D10B3C" w14:textId="71FFD912" w:rsidR="000C1A44" w:rsidRPr="00196031" w:rsidRDefault="000C1A44" w:rsidP="00D5272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>- bpv (</w:t>
      </w:r>
      <w:r w:rsidR="000D1136" w:rsidRPr="00196031">
        <w:rPr>
          <w:rFonts w:asciiTheme="minorHAnsi" w:hAnsiTheme="minorHAnsi" w:cstheme="minorHAnsi"/>
          <w:color w:val="auto"/>
        </w:rPr>
        <w:t>minimaal 180 afgeronde stage uren aan het einde van het eerste leerjaar</w:t>
      </w:r>
      <w:r w:rsidRPr="00196031">
        <w:rPr>
          <w:rFonts w:asciiTheme="minorHAnsi" w:hAnsiTheme="minorHAnsi" w:cstheme="minorHAnsi"/>
          <w:color w:val="auto"/>
        </w:rPr>
        <w:t>)</w:t>
      </w:r>
    </w:p>
    <w:p w14:paraId="406A06BF" w14:textId="77777777" w:rsidR="006C58FF" w:rsidRDefault="000C1A44" w:rsidP="00D5272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- </w:t>
      </w:r>
      <w:r w:rsidR="002E0698" w:rsidRPr="00196031">
        <w:rPr>
          <w:rFonts w:asciiTheme="minorHAnsi" w:hAnsiTheme="minorHAnsi" w:cstheme="minorHAnsi"/>
          <w:color w:val="auto"/>
        </w:rPr>
        <w:t>carrière</w:t>
      </w:r>
      <w:r w:rsidR="000D1136" w:rsidRPr="00196031">
        <w:rPr>
          <w:rFonts w:asciiTheme="minorHAnsi" w:hAnsiTheme="minorHAnsi" w:cstheme="minorHAnsi"/>
          <w:color w:val="auto"/>
        </w:rPr>
        <w:t>-</w:t>
      </w:r>
      <w:r w:rsidRPr="00196031">
        <w:rPr>
          <w:rFonts w:asciiTheme="minorHAnsi" w:hAnsiTheme="minorHAnsi" w:cstheme="minorHAnsi"/>
          <w:color w:val="auto"/>
        </w:rPr>
        <w:t xml:space="preserve"> en persoonlijke ontwikkeling </w:t>
      </w:r>
      <w:r w:rsidR="006C58FF">
        <w:rPr>
          <w:rFonts w:asciiTheme="minorHAnsi" w:hAnsiTheme="minorHAnsi" w:cstheme="minorHAnsi"/>
          <w:color w:val="auto"/>
        </w:rPr>
        <w:t>(minimaal voldoende)</w:t>
      </w:r>
    </w:p>
    <w:p w14:paraId="756998F4" w14:textId="06748DA1" w:rsidR="005F510C" w:rsidRPr="00196031" w:rsidRDefault="005F510C" w:rsidP="00D52729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- studiehouding (minimaal voldoende)</w:t>
      </w:r>
    </w:p>
    <w:p w14:paraId="7AA8F27F" w14:textId="77777777" w:rsidR="00F11B4E" w:rsidRPr="00196031" w:rsidRDefault="00F11B4E" w:rsidP="00D52729">
      <w:pPr>
        <w:pStyle w:val="Default"/>
        <w:rPr>
          <w:rFonts w:asciiTheme="minorHAnsi" w:hAnsiTheme="minorHAnsi" w:cstheme="minorHAnsi"/>
          <w:color w:val="auto"/>
        </w:rPr>
      </w:pPr>
    </w:p>
    <w:p w14:paraId="5CB17975" w14:textId="63E96368" w:rsidR="000C1A44" w:rsidRPr="00196031" w:rsidRDefault="000C1A44" w:rsidP="00D5272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Zodra één of meer van deze </w:t>
      </w:r>
      <w:r w:rsidR="004B5D99" w:rsidRPr="00196031">
        <w:rPr>
          <w:rFonts w:asciiTheme="minorHAnsi" w:hAnsiTheme="minorHAnsi" w:cstheme="minorHAnsi"/>
          <w:color w:val="auto"/>
        </w:rPr>
        <w:t xml:space="preserve">drie </w:t>
      </w:r>
      <w:r w:rsidRPr="00196031">
        <w:rPr>
          <w:rFonts w:asciiTheme="minorHAnsi" w:hAnsiTheme="minorHAnsi" w:cstheme="minorHAnsi"/>
          <w:color w:val="auto"/>
        </w:rPr>
        <w:t xml:space="preserve">pijlers niet voldoende is zal er een verbeterplan </w:t>
      </w:r>
      <w:r w:rsidR="00C937E4" w:rsidRPr="00196031">
        <w:rPr>
          <w:rFonts w:asciiTheme="minorHAnsi" w:hAnsiTheme="minorHAnsi" w:cstheme="minorHAnsi"/>
          <w:color w:val="auto"/>
        </w:rPr>
        <w:t>worden opgesteld.</w:t>
      </w:r>
    </w:p>
    <w:p w14:paraId="4D2BB190" w14:textId="77777777" w:rsidR="00F11B4E" w:rsidRPr="00196031" w:rsidRDefault="00F11B4E" w:rsidP="00D52729">
      <w:pPr>
        <w:pStyle w:val="Default"/>
        <w:rPr>
          <w:rFonts w:asciiTheme="minorHAnsi" w:hAnsiTheme="minorHAnsi" w:cstheme="minorHAnsi"/>
          <w:color w:val="auto"/>
        </w:rPr>
      </w:pPr>
    </w:p>
    <w:p w14:paraId="1A6FEBD8" w14:textId="7AE09E67" w:rsidR="00A3745D" w:rsidRPr="00196031" w:rsidRDefault="00A3745D" w:rsidP="00D52729">
      <w:pPr>
        <w:pStyle w:val="Default"/>
        <w:rPr>
          <w:rFonts w:asciiTheme="minorHAnsi" w:hAnsiTheme="minorHAnsi" w:cstheme="minorHAnsi"/>
          <w:color w:val="auto"/>
        </w:rPr>
      </w:pPr>
      <w:r w:rsidRPr="00196031">
        <w:rPr>
          <w:rFonts w:asciiTheme="minorHAnsi" w:hAnsiTheme="minorHAnsi" w:cstheme="minorHAnsi"/>
          <w:color w:val="auto"/>
        </w:rPr>
        <w:t xml:space="preserve">Wanneer je </w:t>
      </w:r>
      <w:r w:rsidR="00F11B4E" w:rsidRPr="00196031">
        <w:rPr>
          <w:rFonts w:asciiTheme="minorHAnsi" w:hAnsiTheme="minorHAnsi" w:cstheme="minorHAnsi"/>
          <w:color w:val="auto"/>
        </w:rPr>
        <w:t xml:space="preserve">daarna </w:t>
      </w:r>
      <w:r w:rsidRPr="00196031">
        <w:rPr>
          <w:rFonts w:asciiTheme="minorHAnsi" w:hAnsiTheme="minorHAnsi" w:cstheme="minorHAnsi"/>
          <w:color w:val="auto"/>
        </w:rPr>
        <w:t xml:space="preserve">niet voldoet aan </w:t>
      </w:r>
      <w:r w:rsidR="00C937E4" w:rsidRPr="00196031">
        <w:rPr>
          <w:rFonts w:asciiTheme="minorHAnsi" w:hAnsiTheme="minorHAnsi" w:cstheme="minorHAnsi"/>
          <w:color w:val="auto"/>
        </w:rPr>
        <w:t>de vastgestelde verbeter</w:t>
      </w:r>
      <w:r w:rsidR="0018120B" w:rsidRPr="00196031">
        <w:rPr>
          <w:rFonts w:asciiTheme="minorHAnsi" w:hAnsiTheme="minorHAnsi" w:cstheme="minorHAnsi"/>
          <w:color w:val="auto"/>
        </w:rPr>
        <w:t>punten uit het verbeterplan en/</w:t>
      </w:r>
      <w:r w:rsidR="00C937E4" w:rsidRPr="00196031">
        <w:rPr>
          <w:rFonts w:asciiTheme="minorHAnsi" w:hAnsiTheme="minorHAnsi" w:cstheme="minorHAnsi"/>
          <w:color w:val="auto"/>
        </w:rPr>
        <w:t>of niet voldoet aan de</w:t>
      </w:r>
      <w:r w:rsidRPr="00196031">
        <w:rPr>
          <w:rFonts w:asciiTheme="minorHAnsi" w:hAnsiTheme="minorHAnsi" w:cstheme="minorHAnsi"/>
          <w:color w:val="auto"/>
        </w:rPr>
        <w:t xml:space="preserve"> </w:t>
      </w:r>
      <w:r w:rsidR="00C937E4" w:rsidRPr="00196031">
        <w:rPr>
          <w:rFonts w:asciiTheme="minorHAnsi" w:hAnsiTheme="minorHAnsi" w:cstheme="minorHAnsi"/>
          <w:color w:val="auto"/>
        </w:rPr>
        <w:t xml:space="preserve">genoemde </w:t>
      </w:r>
      <w:r w:rsidRPr="00196031">
        <w:rPr>
          <w:rFonts w:asciiTheme="minorHAnsi" w:hAnsiTheme="minorHAnsi" w:cstheme="minorHAnsi"/>
          <w:color w:val="auto"/>
        </w:rPr>
        <w:t xml:space="preserve">voortgangscriteria </w:t>
      </w:r>
      <w:r w:rsidR="00C937E4" w:rsidRPr="00196031">
        <w:rPr>
          <w:rFonts w:asciiTheme="minorHAnsi" w:hAnsiTheme="minorHAnsi" w:cstheme="minorHAnsi"/>
          <w:color w:val="auto"/>
        </w:rPr>
        <w:t xml:space="preserve">van de drie pijlers, dan </w:t>
      </w:r>
      <w:r w:rsidRPr="00196031">
        <w:rPr>
          <w:rFonts w:asciiTheme="minorHAnsi" w:hAnsiTheme="minorHAnsi" w:cstheme="minorHAnsi"/>
          <w:color w:val="auto"/>
        </w:rPr>
        <w:t xml:space="preserve">kan dat leiden tot </w:t>
      </w:r>
      <w:r w:rsidR="00600683">
        <w:rPr>
          <w:rFonts w:asciiTheme="minorHAnsi" w:hAnsiTheme="minorHAnsi" w:cstheme="minorHAnsi"/>
          <w:color w:val="auto"/>
        </w:rPr>
        <w:t>het stopzetten</w:t>
      </w:r>
      <w:r w:rsidRPr="00196031">
        <w:rPr>
          <w:rFonts w:asciiTheme="minorHAnsi" w:hAnsiTheme="minorHAnsi" w:cstheme="minorHAnsi"/>
          <w:color w:val="auto"/>
        </w:rPr>
        <w:t xml:space="preserve"> van je studievoortgang.</w:t>
      </w:r>
    </w:p>
    <w:p w14:paraId="04B3B59C" w14:textId="406B286A" w:rsidR="00CD6207" w:rsidRPr="00196031" w:rsidRDefault="00CD6207" w:rsidP="005B69DA"/>
    <w:p w14:paraId="69FA508F" w14:textId="7C236FFD" w:rsidR="00346651" w:rsidRPr="00196031" w:rsidRDefault="00346651" w:rsidP="005B69DA"/>
    <w:p w14:paraId="768C3DF0" w14:textId="7D3108DC" w:rsidR="00F11B4E" w:rsidRPr="00196031" w:rsidRDefault="00F11B4E" w:rsidP="005B69DA"/>
    <w:p w14:paraId="5D2DD6AF" w14:textId="4291CDAB" w:rsidR="00F11B4E" w:rsidRPr="00196031" w:rsidRDefault="00F11B4E" w:rsidP="005B69DA"/>
    <w:p w14:paraId="6E8BE7A5" w14:textId="6F0B67D6" w:rsidR="0018120B" w:rsidRPr="00196031" w:rsidRDefault="0018120B">
      <w:r w:rsidRPr="00196031">
        <w:br w:type="page"/>
      </w:r>
    </w:p>
    <w:p w14:paraId="36029A94" w14:textId="62CA9546" w:rsidR="005B69DA" w:rsidRPr="00196031" w:rsidRDefault="00253837" w:rsidP="005B69DA">
      <w:pPr>
        <w:rPr>
          <w:b/>
          <w:bCs/>
        </w:rPr>
      </w:pPr>
      <w:r w:rsidRPr="00196031">
        <w:rPr>
          <w:b/>
          <w:bCs/>
        </w:rPr>
        <w:lastRenderedPageBreak/>
        <w:t>Beoordeling 1</w:t>
      </w:r>
    </w:p>
    <w:tbl>
      <w:tblPr>
        <w:tblStyle w:val="Tabelraster"/>
        <w:tblW w:w="10881" w:type="dxa"/>
        <w:tblLook w:val="04A0" w:firstRow="1" w:lastRow="0" w:firstColumn="1" w:lastColumn="0" w:noHBand="0" w:noVBand="1"/>
      </w:tblPr>
      <w:tblGrid>
        <w:gridCol w:w="3114"/>
        <w:gridCol w:w="3798"/>
        <w:gridCol w:w="3969"/>
      </w:tblGrid>
      <w:tr w:rsidR="00196031" w:rsidRPr="00196031" w14:paraId="2AC7C384" w14:textId="77777777" w:rsidTr="00317CC5">
        <w:trPr>
          <w:trHeight w:val="261"/>
        </w:trPr>
        <w:tc>
          <w:tcPr>
            <w:tcW w:w="3114" w:type="dxa"/>
            <w:hideMark/>
          </w:tcPr>
          <w:p w14:paraId="1CF0E693" w14:textId="77777777" w:rsidR="007B4D9A" w:rsidRPr="00196031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  <w:b/>
                <w:bCs/>
              </w:rPr>
              <w:t>Pijler </w:t>
            </w:r>
          </w:p>
        </w:tc>
        <w:tc>
          <w:tcPr>
            <w:tcW w:w="3798" w:type="dxa"/>
            <w:hideMark/>
          </w:tcPr>
          <w:p w14:paraId="60CA61D4" w14:textId="77777777" w:rsidR="007B4D9A" w:rsidRPr="00196031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  <w:b/>
                <w:bCs/>
              </w:rPr>
              <w:t>Pijleronderdeel </w:t>
            </w:r>
          </w:p>
        </w:tc>
        <w:tc>
          <w:tcPr>
            <w:tcW w:w="3969" w:type="dxa"/>
            <w:hideMark/>
          </w:tcPr>
          <w:p w14:paraId="4F17E658" w14:textId="2ED8D232" w:rsidR="007B4D9A" w:rsidRPr="00196031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  <w:b/>
                <w:bCs/>
              </w:rPr>
              <w:t>Voortgangseisen</w:t>
            </w:r>
          </w:p>
        </w:tc>
      </w:tr>
      <w:tr w:rsidR="00196031" w:rsidRPr="00196031" w14:paraId="40D05C9B" w14:textId="77777777" w:rsidTr="00317CC5">
        <w:trPr>
          <w:trHeight w:val="541"/>
        </w:trPr>
        <w:tc>
          <w:tcPr>
            <w:tcW w:w="3114" w:type="dxa"/>
            <w:hideMark/>
          </w:tcPr>
          <w:p w14:paraId="4CA47B44" w14:textId="15665831" w:rsidR="007B4D9A" w:rsidRPr="00196031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1. Cycle </w:t>
            </w:r>
          </w:p>
        </w:tc>
        <w:tc>
          <w:tcPr>
            <w:tcW w:w="3798" w:type="dxa"/>
            <w:hideMark/>
          </w:tcPr>
          <w:p w14:paraId="5D19B126" w14:textId="7360D8B9" w:rsidR="007B4D9A" w:rsidRPr="00196031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schrijven, opnemen en optreden</w:t>
            </w:r>
          </w:p>
        </w:tc>
        <w:tc>
          <w:tcPr>
            <w:tcW w:w="3969" w:type="dxa"/>
            <w:hideMark/>
          </w:tcPr>
          <w:p w14:paraId="3DADE9A7" w14:textId="4F0484C8" w:rsidR="007B4D9A" w:rsidRPr="00196031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V of G</w:t>
            </w:r>
          </w:p>
        </w:tc>
      </w:tr>
      <w:tr w:rsidR="00196031" w:rsidRPr="00196031" w14:paraId="5D74337C" w14:textId="77777777" w:rsidTr="00317CC5">
        <w:trPr>
          <w:trHeight w:val="412"/>
        </w:trPr>
        <w:tc>
          <w:tcPr>
            <w:tcW w:w="3114" w:type="dxa"/>
            <w:hideMark/>
          </w:tcPr>
          <w:p w14:paraId="147D7CDB" w14:textId="0D798399" w:rsidR="007B4D9A" w:rsidRPr="00196031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2. Ondersteunende vakken </w:t>
            </w:r>
          </w:p>
        </w:tc>
        <w:tc>
          <w:tcPr>
            <w:tcW w:w="3798" w:type="dxa"/>
            <w:hideMark/>
          </w:tcPr>
          <w:p w14:paraId="63BBF51F" w14:textId="278708D9" w:rsidR="007B4D9A" w:rsidRDefault="007B4D9A" w:rsidP="00CD6207">
            <w:pPr>
              <w:rPr>
                <w:rFonts w:ascii="Calibri" w:hAnsi="Calibri" w:cs="Calibri"/>
                <w:lang w:val="en-US"/>
              </w:rPr>
            </w:pPr>
            <w:r w:rsidRPr="00730621">
              <w:rPr>
                <w:rFonts w:ascii="Calibri" w:hAnsi="Calibri" w:cs="Calibri"/>
              </w:rPr>
              <w:t>zie</w:t>
            </w:r>
            <w:r w:rsidRPr="00196031">
              <w:rPr>
                <w:rFonts w:ascii="Calibri" w:hAnsi="Calibri" w:cs="Calibri"/>
                <w:lang w:val="en-US"/>
              </w:rPr>
              <w:t xml:space="preserve"> </w:t>
            </w:r>
            <w:r w:rsidR="00A26F1D" w:rsidRPr="00196031">
              <w:rPr>
                <w:rFonts w:ascii="Calibri" w:hAnsi="Calibri" w:cs="Calibri"/>
                <w:lang w:val="en-US"/>
              </w:rPr>
              <w:t>toetsplan</w:t>
            </w:r>
          </w:p>
          <w:p w14:paraId="2D2B892B" w14:textId="6741D602" w:rsidR="00054B62" w:rsidRPr="00054B62" w:rsidRDefault="00054B62" w:rsidP="00377E59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69" w:type="dxa"/>
            <w:hideMark/>
          </w:tcPr>
          <w:p w14:paraId="1B601222" w14:textId="77777777" w:rsidR="007B4D9A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maximaal 4 O's</w:t>
            </w:r>
          </w:p>
          <w:p w14:paraId="7A3A0584" w14:textId="79CE494F" w:rsidR="00054B62" w:rsidRPr="00196031" w:rsidRDefault="00054B62" w:rsidP="005B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waarbij geldt: </w:t>
            </w:r>
            <w:r w:rsidRPr="00196031">
              <w:rPr>
                <w:rFonts w:ascii="Calibri" w:hAnsi="Calibri" w:cs="Calibri"/>
              </w:rPr>
              <w:t>5,5 of hoger voor Nederlands en Engels</w:t>
            </w:r>
          </w:p>
        </w:tc>
      </w:tr>
      <w:tr w:rsidR="007B4D9A" w:rsidRPr="00196031" w14:paraId="34C8E820" w14:textId="77777777" w:rsidTr="00317CC5">
        <w:trPr>
          <w:trHeight w:val="883"/>
        </w:trPr>
        <w:tc>
          <w:tcPr>
            <w:tcW w:w="3114" w:type="dxa"/>
            <w:hideMark/>
          </w:tcPr>
          <w:p w14:paraId="687DA026" w14:textId="72BB0558" w:rsidR="007B4D9A" w:rsidRPr="00196031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3. Beroepshouding </w:t>
            </w:r>
          </w:p>
        </w:tc>
        <w:tc>
          <w:tcPr>
            <w:tcW w:w="3798" w:type="dxa"/>
            <w:hideMark/>
          </w:tcPr>
          <w:p w14:paraId="1F225020" w14:textId="2730C631" w:rsidR="007B4D9A" w:rsidRPr="00196031" w:rsidRDefault="005F510C" w:rsidP="005B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7B4D9A" w:rsidRPr="00196031">
              <w:rPr>
                <w:rFonts w:ascii="Calibri" w:hAnsi="Calibri" w:cs="Calibri"/>
              </w:rPr>
              <w:t>anwezigheid</w:t>
            </w:r>
            <w:r w:rsidR="007D08E9" w:rsidRPr="00196031">
              <w:rPr>
                <w:rFonts w:ascii="Calibri" w:hAnsi="Calibri" w:cs="Calibri"/>
              </w:rPr>
              <w:t xml:space="preserve"> (minimaal 80%)</w:t>
            </w:r>
          </w:p>
          <w:p w14:paraId="4C5502CE" w14:textId="55BCE1E2" w:rsidR="007B4D9A" w:rsidRDefault="005F510C" w:rsidP="005B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730621" w:rsidRPr="00196031">
              <w:rPr>
                <w:rFonts w:ascii="Calibri" w:hAnsi="Calibri" w:cs="Calibri"/>
              </w:rPr>
              <w:t>arrière</w:t>
            </w:r>
            <w:r w:rsidR="007B4D9A" w:rsidRPr="00196031">
              <w:rPr>
                <w:rFonts w:ascii="Calibri" w:hAnsi="Calibri" w:cs="Calibri"/>
              </w:rPr>
              <w:t xml:space="preserve"> en persoonlijke ontwikkeling</w:t>
            </w:r>
          </w:p>
          <w:p w14:paraId="3675D0E2" w14:textId="0DDF662A" w:rsidR="005F510C" w:rsidRPr="00196031" w:rsidRDefault="005F510C" w:rsidP="005B69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Studiehouding</w:t>
            </w:r>
          </w:p>
        </w:tc>
        <w:tc>
          <w:tcPr>
            <w:tcW w:w="3969" w:type="dxa"/>
            <w:hideMark/>
          </w:tcPr>
          <w:p w14:paraId="60DB4A56" w14:textId="24DEACCF" w:rsidR="007B4D9A" w:rsidRPr="00196031" w:rsidRDefault="007B4D9A" w:rsidP="005B69DA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Alle onderdelen V of G</w:t>
            </w:r>
          </w:p>
        </w:tc>
      </w:tr>
    </w:tbl>
    <w:p w14:paraId="7BE697FC" w14:textId="77777777" w:rsidR="007D08E9" w:rsidRPr="00196031" w:rsidRDefault="007D08E9" w:rsidP="00D52729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2747249" w14:textId="3F5DB0F4" w:rsidR="00A3745D" w:rsidRPr="00196031" w:rsidRDefault="00A3745D" w:rsidP="00D52729">
      <w:pPr>
        <w:spacing w:after="0" w:line="240" w:lineRule="auto"/>
        <w:rPr>
          <w:rFonts w:cstheme="minorHAnsi"/>
          <w:bCs/>
          <w:sz w:val="24"/>
          <w:szCs w:val="24"/>
        </w:rPr>
      </w:pPr>
      <w:r w:rsidRPr="00196031">
        <w:rPr>
          <w:rFonts w:cstheme="minorHAnsi"/>
          <w:bCs/>
          <w:sz w:val="24"/>
          <w:szCs w:val="24"/>
        </w:rPr>
        <w:t xml:space="preserve">Wanneer je </w:t>
      </w:r>
      <w:r w:rsidR="001E3569" w:rsidRPr="00196031">
        <w:rPr>
          <w:rFonts w:cstheme="minorHAnsi"/>
          <w:bCs/>
          <w:sz w:val="24"/>
          <w:szCs w:val="24"/>
        </w:rPr>
        <w:t>bij B</w:t>
      </w:r>
      <w:r w:rsidR="007D08E9" w:rsidRPr="00196031">
        <w:rPr>
          <w:rFonts w:cstheme="minorHAnsi"/>
          <w:bCs/>
          <w:sz w:val="24"/>
          <w:szCs w:val="24"/>
        </w:rPr>
        <w:t xml:space="preserve">eoordeling 1 </w:t>
      </w:r>
      <w:r w:rsidRPr="00196031">
        <w:rPr>
          <w:rFonts w:cstheme="minorHAnsi"/>
          <w:bCs/>
          <w:sz w:val="24"/>
          <w:szCs w:val="24"/>
        </w:rPr>
        <w:t>onvoldoende studievoortgang laat zien kan dat leiden tot een verbeterplan bij Beoordeling 2</w:t>
      </w:r>
      <w:r w:rsidR="00E26231">
        <w:rPr>
          <w:rFonts w:cstheme="minorHAnsi"/>
          <w:bCs/>
          <w:sz w:val="24"/>
          <w:szCs w:val="24"/>
        </w:rPr>
        <w:t>.</w:t>
      </w:r>
    </w:p>
    <w:p w14:paraId="2C5ACC35" w14:textId="3258E991" w:rsidR="00253837" w:rsidRPr="00196031" w:rsidRDefault="00253837" w:rsidP="00D5272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8053120" w14:textId="3C450897" w:rsidR="00253837" w:rsidRPr="00196031" w:rsidRDefault="00253837" w:rsidP="00D52729">
      <w:pPr>
        <w:spacing w:after="0" w:line="240" w:lineRule="auto"/>
        <w:rPr>
          <w:rFonts w:cstheme="minorHAnsi"/>
          <w:b/>
          <w:sz w:val="24"/>
          <w:szCs w:val="24"/>
        </w:rPr>
      </w:pPr>
      <w:r w:rsidRPr="00196031">
        <w:rPr>
          <w:rFonts w:cstheme="minorHAnsi"/>
          <w:b/>
          <w:sz w:val="24"/>
          <w:szCs w:val="24"/>
        </w:rPr>
        <w:t>Beoordeling 2</w:t>
      </w:r>
    </w:p>
    <w:p w14:paraId="4C12D5C3" w14:textId="581ADE5C" w:rsidR="00253837" w:rsidRPr="00196031" w:rsidRDefault="00253837" w:rsidP="00D5272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raster"/>
        <w:tblW w:w="10881" w:type="dxa"/>
        <w:tblLook w:val="04A0" w:firstRow="1" w:lastRow="0" w:firstColumn="1" w:lastColumn="0" w:noHBand="0" w:noVBand="1"/>
      </w:tblPr>
      <w:tblGrid>
        <w:gridCol w:w="3114"/>
        <w:gridCol w:w="3798"/>
        <w:gridCol w:w="3969"/>
      </w:tblGrid>
      <w:tr w:rsidR="00196031" w:rsidRPr="00196031" w14:paraId="2CC42894" w14:textId="77777777" w:rsidTr="00D51087">
        <w:trPr>
          <w:trHeight w:val="261"/>
        </w:trPr>
        <w:tc>
          <w:tcPr>
            <w:tcW w:w="3114" w:type="dxa"/>
            <w:hideMark/>
          </w:tcPr>
          <w:p w14:paraId="0F6CC490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  <w:b/>
                <w:bCs/>
              </w:rPr>
              <w:t>Pijler </w:t>
            </w:r>
          </w:p>
        </w:tc>
        <w:tc>
          <w:tcPr>
            <w:tcW w:w="3798" w:type="dxa"/>
            <w:hideMark/>
          </w:tcPr>
          <w:p w14:paraId="5ABD896D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  <w:b/>
                <w:bCs/>
              </w:rPr>
              <w:t>Pijleronderdeel </w:t>
            </w:r>
          </w:p>
        </w:tc>
        <w:tc>
          <w:tcPr>
            <w:tcW w:w="3969" w:type="dxa"/>
            <w:hideMark/>
          </w:tcPr>
          <w:p w14:paraId="344DEE85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  <w:b/>
                <w:bCs/>
              </w:rPr>
              <w:t>Voortgangseisen</w:t>
            </w:r>
          </w:p>
        </w:tc>
      </w:tr>
      <w:tr w:rsidR="00196031" w:rsidRPr="00196031" w14:paraId="459DBB07" w14:textId="77777777" w:rsidTr="00D51087">
        <w:trPr>
          <w:trHeight w:val="541"/>
        </w:trPr>
        <w:tc>
          <w:tcPr>
            <w:tcW w:w="3114" w:type="dxa"/>
            <w:hideMark/>
          </w:tcPr>
          <w:p w14:paraId="7C557B72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1. Cycle </w:t>
            </w:r>
          </w:p>
        </w:tc>
        <w:tc>
          <w:tcPr>
            <w:tcW w:w="3798" w:type="dxa"/>
            <w:hideMark/>
          </w:tcPr>
          <w:p w14:paraId="766DC1C4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schrijven, opnemen en optreden</w:t>
            </w:r>
          </w:p>
        </w:tc>
        <w:tc>
          <w:tcPr>
            <w:tcW w:w="3969" w:type="dxa"/>
            <w:hideMark/>
          </w:tcPr>
          <w:p w14:paraId="6BAF780F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V of G</w:t>
            </w:r>
          </w:p>
        </w:tc>
      </w:tr>
      <w:tr w:rsidR="00196031" w:rsidRPr="00196031" w14:paraId="07A0804A" w14:textId="77777777" w:rsidTr="00D51087">
        <w:trPr>
          <w:trHeight w:val="412"/>
        </w:trPr>
        <w:tc>
          <w:tcPr>
            <w:tcW w:w="3114" w:type="dxa"/>
            <w:hideMark/>
          </w:tcPr>
          <w:p w14:paraId="4F1CE4D1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2. Ondersteunende vakken </w:t>
            </w:r>
          </w:p>
        </w:tc>
        <w:tc>
          <w:tcPr>
            <w:tcW w:w="3798" w:type="dxa"/>
            <w:hideMark/>
          </w:tcPr>
          <w:p w14:paraId="43E43323" w14:textId="684D0C40" w:rsidR="00054B62" w:rsidRDefault="00054B62" w:rsidP="00054B6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z</w:t>
            </w:r>
            <w:r w:rsidRPr="00730621">
              <w:rPr>
                <w:rFonts w:ascii="Calibri" w:hAnsi="Calibri" w:cs="Calibri"/>
              </w:rPr>
              <w:t>ie</w:t>
            </w:r>
            <w:r w:rsidRPr="00196031">
              <w:rPr>
                <w:rFonts w:ascii="Calibri" w:hAnsi="Calibri" w:cs="Calibri"/>
                <w:lang w:val="en-US"/>
              </w:rPr>
              <w:t xml:space="preserve"> toetsplan</w:t>
            </w:r>
          </w:p>
          <w:p w14:paraId="228307A2" w14:textId="05D7D3C7" w:rsidR="003305E9" w:rsidRPr="00196031" w:rsidRDefault="003305E9" w:rsidP="00377E59">
            <w:pPr>
              <w:rPr>
                <w:rFonts w:ascii="Calibri" w:hAnsi="Calibri" w:cs="Calibri"/>
              </w:rPr>
            </w:pPr>
          </w:p>
        </w:tc>
        <w:tc>
          <w:tcPr>
            <w:tcW w:w="3969" w:type="dxa"/>
            <w:hideMark/>
          </w:tcPr>
          <w:p w14:paraId="4C45BC37" w14:textId="77777777" w:rsidR="003305E9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maximaal 4 O's</w:t>
            </w:r>
          </w:p>
          <w:p w14:paraId="17C8A64C" w14:textId="2A526F83" w:rsidR="00317CC5" w:rsidRPr="00196031" w:rsidRDefault="00317CC5" w:rsidP="004D29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waarbij geldt: </w:t>
            </w:r>
            <w:r w:rsidRPr="00196031">
              <w:rPr>
                <w:rFonts w:ascii="Calibri" w:hAnsi="Calibri" w:cs="Calibri"/>
              </w:rPr>
              <w:t>5,5 of hoger voor Nederlands en Engels</w:t>
            </w:r>
          </w:p>
        </w:tc>
      </w:tr>
      <w:tr w:rsidR="00D51087" w:rsidRPr="00196031" w14:paraId="0323AB7E" w14:textId="77777777" w:rsidTr="00D51087">
        <w:trPr>
          <w:trHeight w:val="897"/>
        </w:trPr>
        <w:tc>
          <w:tcPr>
            <w:tcW w:w="3114" w:type="dxa"/>
            <w:hideMark/>
          </w:tcPr>
          <w:p w14:paraId="7CD0C57F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3. Beroepshouding </w:t>
            </w:r>
          </w:p>
        </w:tc>
        <w:tc>
          <w:tcPr>
            <w:tcW w:w="3798" w:type="dxa"/>
            <w:hideMark/>
          </w:tcPr>
          <w:p w14:paraId="6803325E" w14:textId="77777777" w:rsidR="005F510C" w:rsidRPr="00196031" w:rsidRDefault="005F510C" w:rsidP="005F51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196031">
              <w:rPr>
                <w:rFonts w:ascii="Calibri" w:hAnsi="Calibri" w:cs="Calibri"/>
              </w:rPr>
              <w:t>anwezigheid (minimaal 80%)</w:t>
            </w:r>
          </w:p>
          <w:p w14:paraId="5DB0224E" w14:textId="31B8E6D2" w:rsidR="005F510C" w:rsidRPr="00196031" w:rsidRDefault="005F510C" w:rsidP="005F51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Pr="00196031">
              <w:rPr>
                <w:rFonts w:ascii="Calibri" w:hAnsi="Calibri" w:cs="Calibri"/>
              </w:rPr>
              <w:t xml:space="preserve">pv-uren (minimaal </w:t>
            </w:r>
            <w:r w:rsidR="00F96FD1">
              <w:rPr>
                <w:rFonts w:ascii="Calibri" w:hAnsi="Calibri" w:cs="Calibri"/>
              </w:rPr>
              <w:t>2</w:t>
            </w:r>
            <w:r w:rsidR="00054B62">
              <w:rPr>
                <w:rFonts w:ascii="Calibri" w:hAnsi="Calibri" w:cs="Calibri"/>
              </w:rPr>
              <w:t>0</w:t>
            </w:r>
            <w:r w:rsidRPr="00196031">
              <w:rPr>
                <w:rFonts w:ascii="Calibri" w:hAnsi="Calibri" w:cs="Calibri"/>
              </w:rPr>
              <w:t xml:space="preserve"> uren stage)</w:t>
            </w:r>
          </w:p>
          <w:p w14:paraId="4920E23A" w14:textId="77777777" w:rsidR="005F510C" w:rsidRDefault="005F510C" w:rsidP="005F51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196031">
              <w:rPr>
                <w:rFonts w:ascii="Calibri" w:hAnsi="Calibri" w:cs="Calibri"/>
              </w:rPr>
              <w:t>arrière en persoonlijke ontwikkeling</w:t>
            </w:r>
          </w:p>
          <w:p w14:paraId="0D577831" w14:textId="0D93A763" w:rsidR="003305E9" w:rsidRPr="00196031" w:rsidRDefault="005F510C" w:rsidP="005F51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Studiehouding</w:t>
            </w:r>
          </w:p>
        </w:tc>
        <w:tc>
          <w:tcPr>
            <w:tcW w:w="3969" w:type="dxa"/>
            <w:hideMark/>
          </w:tcPr>
          <w:p w14:paraId="6FAAB661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Alle onderdelen V of G</w:t>
            </w:r>
          </w:p>
        </w:tc>
      </w:tr>
    </w:tbl>
    <w:p w14:paraId="19D159BF" w14:textId="77777777" w:rsidR="003305E9" w:rsidRPr="00196031" w:rsidRDefault="003305E9" w:rsidP="00D5272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34777BB" w14:textId="75F58D6A" w:rsidR="007D08E9" w:rsidRPr="00196031" w:rsidRDefault="003305E9" w:rsidP="00D52729">
      <w:pPr>
        <w:spacing w:after="0" w:line="240" w:lineRule="auto"/>
        <w:rPr>
          <w:rFonts w:cstheme="minorHAnsi"/>
          <w:bCs/>
          <w:sz w:val="24"/>
          <w:szCs w:val="24"/>
        </w:rPr>
      </w:pPr>
      <w:r w:rsidRPr="00196031">
        <w:rPr>
          <w:rFonts w:cstheme="minorHAnsi"/>
          <w:bCs/>
          <w:sz w:val="24"/>
          <w:szCs w:val="24"/>
        </w:rPr>
        <w:t xml:space="preserve">Wanneer je </w:t>
      </w:r>
      <w:r w:rsidR="001E3569" w:rsidRPr="00196031">
        <w:rPr>
          <w:rFonts w:cstheme="minorHAnsi"/>
          <w:bCs/>
          <w:sz w:val="24"/>
          <w:szCs w:val="24"/>
        </w:rPr>
        <w:t>bij B</w:t>
      </w:r>
      <w:r w:rsidRPr="00196031">
        <w:rPr>
          <w:rFonts w:cstheme="minorHAnsi"/>
          <w:bCs/>
          <w:sz w:val="24"/>
          <w:szCs w:val="24"/>
        </w:rPr>
        <w:t>eoordeling 2 onvoldoende studievoortgang laat zien dan krijg je een verbeterplan.</w:t>
      </w:r>
    </w:p>
    <w:p w14:paraId="792C643D" w14:textId="370E6FE5" w:rsidR="00253837" w:rsidRPr="00196031" w:rsidRDefault="00253837" w:rsidP="00D52729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0E34A71" w14:textId="1AABA5CC" w:rsidR="00F11B4E" w:rsidRPr="00196031" w:rsidRDefault="00F11B4E" w:rsidP="00D52729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45AB655" w14:textId="77777777" w:rsidR="00377E59" w:rsidRDefault="00377E5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934694A" w14:textId="37961970" w:rsidR="00253837" w:rsidRPr="00196031" w:rsidRDefault="00253837" w:rsidP="00D52729">
      <w:pPr>
        <w:spacing w:after="0" w:line="240" w:lineRule="auto"/>
        <w:rPr>
          <w:rFonts w:cstheme="minorHAnsi"/>
          <w:b/>
          <w:sz w:val="24"/>
          <w:szCs w:val="24"/>
        </w:rPr>
      </w:pPr>
      <w:r w:rsidRPr="00196031">
        <w:rPr>
          <w:rFonts w:cstheme="minorHAnsi"/>
          <w:b/>
          <w:sz w:val="24"/>
          <w:szCs w:val="24"/>
        </w:rPr>
        <w:lastRenderedPageBreak/>
        <w:t>Beoordeling 3</w:t>
      </w:r>
    </w:p>
    <w:p w14:paraId="410B3518" w14:textId="6600B7D4" w:rsidR="003305E9" w:rsidRPr="00196031" w:rsidRDefault="003305E9" w:rsidP="00D52729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3114"/>
        <w:gridCol w:w="5528"/>
        <w:gridCol w:w="5387"/>
      </w:tblGrid>
      <w:tr w:rsidR="00196031" w:rsidRPr="00196031" w14:paraId="48D61A0F" w14:textId="77777777" w:rsidTr="004D2944">
        <w:trPr>
          <w:trHeight w:val="261"/>
        </w:trPr>
        <w:tc>
          <w:tcPr>
            <w:tcW w:w="3114" w:type="dxa"/>
            <w:hideMark/>
          </w:tcPr>
          <w:p w14:paraId="4150AEEB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  <w:b/>
                <w:bCs/>
              </w:rPr>
              <w:t>Pijler </w:t>
            </w:r>
          </w:p>
        </w:tc>
        <w:tc>
          <w:tcPr>
            <w:tcW w:w="5528" w:type="dxa"/>
            <w:hideMark/>
          </w:tcPr>
          <w:p w14:paraId="4F5350F3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  <w:b/>
                <w:bCs/>
              </w:rPr>
              <w:t>Pijleronderdeel </w:t>
            </w:r>
          </w:p>
        </w:tc>
        <w:tc>
          <w:tcPr>
            <w:tcW w:w="5387" w:type="dxa"/>
            <w:hideMark/>
          </w:tcPr>
          <w:p w14:paraId="4A55637A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  <w:b/>
                <w:bCs/>
              </w:rPr>
              <w:t>Voortgangseisen</w:t>
            </w:r>
          </w:p>
        </w:tc>
      </w:tr>
      <w:tr w:rsidR="00196031" w:rsidRPr="00196031" w14:paraId="1C68709A" w14:textId="77777777" w:rsidTr="004D2944">
        <w:trPr>
          <w:trHeight w:val="541"/>
        </w:trPr>
        <w:tc>
          <w:tcPr>
            <w:tcW w:w="3114" w:type="dxa"/>
            <w:hideMark/>
          </w:tcPr>
          <w:p w14:paraId="58B28A03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1. Cycle </w:t>
            </w:r>
          </w:p>
        </w:tc>
        <w:tc>
          <w:tcPr>
            <w:tcW w:w="5528" w:type="dxa"/>
            <w:hideMark/>
          </w:tcPr>
          <w:p w14:paraId="546589C1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schrijven, opnemen en optreden</w:t>
            </w:r>
          </w:p>
        </w:tc>
        <w:tc>
          <w:tcPr>
            <w:tcW w:w="5387" w:type="dxa"/>
            <w:hideMark/>
          </w:tcPr>
          <w:p w14:paraId="566283D5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V of G</w:t>
            </w:r>
          </w:p>
        </w:tc>
      </w:tr>
      <w:tr w:rsidR="00196031" w:rsidRPr="00196031" w14:paraId="3C89D4A8" w14:textId="77777777" w:rsidTr="004D2944">
        <w:trPr>
          <w:trHeight w:val="412"/>
        </w:trPr>
        <w:tc>
          <w:tcPr>
            <w:tcW w:w="3114" w:type="dxa"/>
            <w:hideMark/>
          </w:tcPr>
          <w:p w14:paraId="6DB47ED6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2. Ondersteunende vakken </w:t>
            </w:r>
          </w:p>
        </w:tc>
        <w:tc>
          <w:tcPr>
            <w:tcW w:w="5528" w:type="dxa"/>
            <w:hideMark/>
          </w:tcPr>
          <w:p w14:paraId="41465502" w14:textId="77777777" w:rsidR="003305E9" w:rsidRDefault="003305E9" w:rsidP="004D2944">
            <w:pPr>
              <w:rPr>
                <w:rFonts w:ascii="Calibri" w:hAnsi="Calibri" w:cs="Calibri"/>
                <w:lang w:val="en-US"/>
              </w:rPr>
            </w:pPr>
            <w:r w:rsidRPr="00196031">
              <w:rPr>
                <w:rFonts w:ascii="Calibri" w:hAnsi="Calibri" w:cs="Calibri"/>
                <w:lang w:val="en-US"/>
              </w:rPr>
              <w:t xml:space="preserve">zie </w:t>
            </w:r>
            <w:r w:rsidR="00A26F1D" w:rsidRPr="00196031">
              <w:rPr>
                <w:rFonts w:ascii="Calibri" w:hAnsi="Calibri" w:cs="Calibri"/>
                <w:lang w:val="en-US"/>
              </w:rPr>
              <w:t>toetsplan</w:t>
            </w:r>
          </w:p>
          <w:p w14:paraId="4072CF1A" w14:textId="6ECC884E" w:rsidR="00317CC5" w:rsidRPr="00196031" w:rsidRDefault="00317CC5" w:rsidP="00317CC5">
            <w:pPr>
              <w:rPr>
                <w:rFonts w:ascii="Calibri" w:hAnsi="Calibri" w:cs="Calibri"/>
              </w:rPr>
            </w:pPr>
          </w:p>
        </w:tc>
        <w:tc>
          <w:tcPr>
            <w:tcW w:w="5387" w:type="dxa"/>
            <w:hideMark/>
          </w:tcPr>
          <w:p w14:paraId="389ABD1D" w14:textId="0DBF13A2" w:rsidR="003305E9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maximaal 4 O's</w:t>
            </w:r>
          </w:p>
          <w:p w14:paraId="0F7FFFED" w14:textId="79C0D1D3" w:rsidR="00317CC5" w:rsidRPr="00196031" w:rsidRDefault="00317CC5" w:rsidP="004D29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waarbij geldt: </w:t>
            </w:r>
            <w:r w:rsidRPr="00196031">
              <w:rPr>
                <w:rFonts w:ascii="Calibri" w:hAnsi="Calibri" w:cs="Calibri"/>
              </w:rPr>
              <w:t xml:space="preserve">5,5 of hoger voor Nederlands en Engels </w:t>
            </w:r>
          </w:p>
        </w:tc>
      </w:tr>
      <w:tr w:rsidR="003305E9" w:rsidRPr="00196031" w14:paraId="1ED78736" w14:textId="77777777" w:rsidTr="00DC378C">
        <w:trPr>
          <w:trHeight w:val="817"/>
        </w:trPr>
        <w:tc>
          <w:tcPr>
            <w:tcW w:w="3114" w:type="dxa"/>
            <w:hideMark/>
          </w:tcPr>
          <w:p w14:paraId="065C1B8B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3. Beroepshouding </w:t>
            </w:r>
          </w:p>
        </w:tc>
        <w:tc>
          <w:tcPr>
            <w:tcW w:w="5528" w:type="dxa"/>
            <w:hideMark/>
          </w:tcPr>
          <w:p w14:paraId="4D6BB335" w14:textId="77777777" w:rsidR="005F510C" w:rsidRPr="00196031" w:rsidRDefault="005F510C" w:rsidP="005F51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196031">
              <w:rPr>
                <w:rFonts w:ascii="Calibri" w:hAnsi="Calibri" w:cs="Calibri"/>
              </w:rPr>
              <w:t>anwezigheid (minimaal 80%)</w:t>
            </w:r>
          </w:p>
          <w:p w14:paraId="37C6D2FE" w14:textId="13420837" w:rsidR="005F510C" w:rsidRPr="00196031" w:rsidRDefault="005F510C" w:rsidP="005F51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 w:rsidR="00054B62">
              <w:rPr>
                <w:rFonts w:ascii="Calibri" w:hAnsi="Calibri" w:cs="Calibri"/>
              </w:rPr>
              <w:t>pv-uren (minimaal 18</w:t>
            </w:r>
            <w:r w:rsidRPr="00196031">
              <w:rPr>
                <w:rFonts w:ascii="Calibri" w:hAnsi="Calibri" w:cs="Calibri"/>
              </w:rPr>
              <w:t>0 uren stage)</w:t>
            </w:r>
          </w:p>
          <w:p w14:paraId="619932D6" w14:textId="77777777" w:rsidR="005F510C" w:rsidRDefault="005F510C" w:rsidP="005F51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Pr="00196031">
              <w:rPr>
                <w:rFonts w:ascii="Calibri" w:hAnsi="Calibri" w:cs="Calibri"/>
              </w:rPr>
              <w:t>arrière en persoonlijke ontwikkeling</w:t>
            </w:r>
          </w:p>
          <w:p w14:paraId="4F1702A5" w14:textId="4D403068" w:rsidR="003305E9" w:rsidRPr="00196031" w:rsidRDefault="005F510C" w:rsidP="005F51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Studiehouding</w:t>
            </w:r>
          </w:p>
        </w:tc>
        <w:tc>
          <w:tcPr>
            <w:tcW w:w="5387" w:type="dxa"/>
            <w:hideMark/>
          </w:tcPr>
          <w:p w14:paraId="40CD4B88" w14:textId="77777777" w:rsidR="003305E9" w:rsidRPr="00196031" w:rsidRDefault="003305E9" w:rsidP="004D2944">
            <w:pPr>
              <w:rPr>
                <w:rFonts w:ascii="Calibri" w:hAnsi="Calibri" w:cs="Calibri"/>
              </w:rPr>
            </w:pPr>
            <w:r w:rsidRPr="00196031">
              <w:rPr>
                <w:rFonts w:ascii="Calibri" w:hAnsi="Calibri" w:cs="Calibri"/>
              </w:rPr>
              <w:t>Alle onderdelen V of G</w:t>
            </w:r>
          </w:p>
        </w:tc>
      </w:tr>
    </w:tbl>
    <w:p w14:paraId="4DBCEE3C" w14:textId="77777777" w:rsidR="007D08E9" w:rsidRPr="00196031" w:rsidRDefault="007D08E9" w:rsidP="00D52729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15E5D78E" w14:textId="797CC181" w:rsidR="00AF7548" w:rsidRPr="00196031" w:rsidRDefault="00A3745D" w:rsidP="00D52729">
      <w:pPr>
        <w:spacing w:after="0" w:line="240" w:lineRule="auto"/>
        <w:rPr>
          <w:rFonts w:cstheme="minorHAnsi"/>
          <w:bCs/>
          <w:sz w:val="24"/>
          <w:szCs w:val="24"/>
        </w:rPr>
      </w:pPr>
      <w:r w:rsidRPr="00196031">
        <w:rPr>
          <w:rFonts w:cstheme="minorHAnsi"/>
          <w:bCs/>
          <w:sz w:val="24"/>
          <w:szCs w:val="24"/>
        </w:rPr>
        <w:t xml:space="preserve">Wanneer je </w:t>
      </w:r>
      <w:r w:rsidR="007D08E9" w:rsidRPr="00196031">
        <w:rPr>
          <w:rFonts w:cstheme="minorHAnsi"/>
          <w:bCs/>
          <w:sz w:val="24"/>
          <w:szCs w:val="24"/>
        </w:rPr>
        <w:t xml:space="preserve">bij </w:t>
      </w:r>
      <w:r w:rsidR="001E3569" w:rsidRPr="00196031">
        <w:rPr>
          <w:rFonts w:cstheme="minorHAnsi"/>
          <w:bCs/>
          <w:sz w:val="24"/>
          <w:szCs w:val="24"/>
        </w:rPr>
        <w:t>B</w:t>
      </w:r>
      <w:r w:rsidR="007D08E9" w:rsidRPr="00196031">
        <w:rPr>
          <w:rFonts w:cstheme="minorHAnsi"/>
          <w:bCs/>
          <w:sz w:val="24"/>
          <w:szCs w:val="24"/>
        </w:rPr>
        <w:t xml:space="preserve">eoordeling 3 </w:t>
      </w:r>
      <w:r w:rsidRPr="00196031">
        <w:rPr>
          <w:rFonts w:cstheme="minorHAnsi"/>
          <w:bCs/>
          <w:sz w:val="24"/>
          <w:szCs w:val="24"/>
        </w:rPr>
        <w:t xml:space="preserve">onvoldoende verbetering </w:t>
      </w:r>
      <w:r w:rsidR="007D08E9" w:rsidRPr="00196031">
        <w:rPr>
          <w:rFonts w:cstheme="minorHAnsi"/>
          <w:bCs/>
          <w:sz w:val="24"/>
          <w:szCs w:val="24"/>
        </w:rPr>
        <w:t>laat zien</w:t>
      </w:r>
      <w:r w:rsidR="000E62FE" w:rsidRPr="00196031">
        <w:rPr>
          <w:rFonts w:cstheme="minorHAnsi"/>
          <w:bCs/>
          <w:sz w:val="24"/>
          <w:szCs w:val="24"/>
        </w:rPr>
        <w:t xml:space="preserve"> of </w:t>
      </w:r>
      <w:r w:rsidR="00C937E4" w:rsidRPr="00196031">
        <w:rPr>
          <w:rFonts w:cstheme="minorHAnsi"/>
          <w:bCs/>
          <w:sz w:val="24"/>
          <w:szCs w:val="24"/>
        </w:rPr>
        <w:t xml:space="preserve">als </w:t>
      </w:r>
      <w:r w:rsidR="000E62FE" w:rsidRPr="00196031">
        <w:rPr>
          <w:rFonts w:cstheme="minorHAnsi"/>
          <w:bCs/>
          <w:sz w:val="24"/>
          <w:szCs w:val="24"/>
        </w:rPr>
        <w:t xml:space="preserve">je de gemaakte afspraken onvoldoende bent nagekomen </w:t>
      </w:r>
      <w:r w:rsidRPr="00196031">
        <w:rPr>
          <w:rFonts w:cstheme="minorHAnsi"/>
          <w:bCs/>
          <w:sz w:val="24"/>
          <w:szCs w:val="24"/>
        </w:rPr>
        <w:t xml:space="preserve">kan </w:t>
      </w:r>
      <w:r w:rsidR="000E62FE" w:rsidRPr="00196031">
        <w:rPr>
          <w:rFonts w:cstheme="minorHAnsi"/>
          <w:bCs/>
          <w:sz w:val="24"/>
          <w:szCs w:val="24"/>
        </w:rPr>
        <w:t>dat leiden tot een negatief bindend studieadvies en moet je stoppen met de opleiding</w:t>
      </w:r>
      <w:r w:rsidR="003A276E" w:rsidRPr="00196031">
        <w:rPr>
          <w:rFonts w:cstheme="minorHAnsi"/>
          <w:bCs/>
          <w:sz w:val="24"/>
          <w:szCs w:val="24"/>
        </w:rPr>
        <w:t>.</w:t>
      </w:r>
    </w:p>
    <w:sectPr w:rsidR="00AF7548" w:rsidRPr="00196031" w:rsidSect="00A563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CD5"/>
    <w:multiLevelType w:val="hybridMultilevel"/>
    <w:tmpl w:val="D98C61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3720"/>
    <w:multiLevelType w:val="hybridMultilevel"/>
    <w:tmpl w:val="0AA47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D6756"/>
    <w:multiLevelType w:val="hybridMultilevel"/>
    <w:tmpl w:val="D98C61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28A4"/>
    <w:multiLevelType w:val="hybridMultilevel"/>
    <w:tmpl w:val="D48CAD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C2DAF"/>
    <w:multiLevelType w:val="hybridMultilevel"/>
    <w:tmpl w:val="8B4A2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2165D"/>
    <w:multiLevelType w:val="hybridMultilevel"/>
    <w:tmpl w:val="820ED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17FBA"/>
    <w:multiLevelType w:val="hybridMultilevel"/>
    <w:tmpl w:val="CCE607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94F8D"/>
    <w:multiLevelType w:val="hybridMultilevel"/>
    <w:tmpl w:val="30929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337D7"/>
    <w:multiLevelType w:val="hybridMultilevel"/>
    <w:tmpl w:val="165AF592"/>
    <w:lvl w:ilvl="0" w:tplc="C6D0B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E6CC3"/>
    <w:multiLevelType w:val="hybridMultilevel"/>
    <w:tmpl w:val="8B4A22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200D6"/>
    <w:multiLevelType w:val="hybridMultilevel"/>
    <w:tmpl w:val="D48CAD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A2A82"/>
    <w:multiLevelType w:val="hybridMultilevel"/>
    <w:tmpl w:val="77DCA7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81F66"/>
    <w:multiLevelType w:val="hybridMultilevel"/>
    <w:tmpl w:val="D48CAD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11237">
    <w:abstractNumId w:val="7"/>
  </w:num>
  <w:num w:numId="2" w16cid:durableId="1424761092">
    <w:abstractNumId w:val="11"/>
  </w:num>
  <w:num w:numId="3" w16cid:durableId="117797882">
    <w:abstractNumId w:val="0"/>
  </w:num>
  <w:num w:numId="4" w16cid:durableId="300355490">
    <w:abstractNumId w:val="3"/>
  </w:num>
  <w:num w:numId="5" w16cid:durableId="1572278919">
    <w:abstractNumId w:val="9"/>
  </w:num>
  <w:num w:numId="6" w16cid:durableId="1434477217">
    <w:abstractNumId w:val="12"/>
  </w:num>
  <w:num w:numId="7" w16cid:durableId="1774083491">
    <w:abstractNumId w:val="1"/>
  </w:num>
  <w:num w:numId="8" w16cid:durableId="558051971">
    <w:abstractNumId w:val="2"/>
  </w:num>
  <w:num w:numId="9" w16cid:durableId="2138063928">
    <w:abstractNumId w:val="10"/>
  </w:num>
  <w:num w:numId="10" w16cid:durableId="349185854">
    <w:abstractNumId w:val="4"/>
  </w:num>
  <w:num w:numId="11" w16cid:durableId="1807619356">
    <w:abstractNumId w:val="8"/>
  </w:num>
  <w:num w:numId="12" w16cid:durableId="83309848">
    <w:abstractNumId w:val="6"/>
  </w:num>
  <w:num w:numId="13" w16cid:durableId="97794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DA"/>
    <w:rsid w:val="00014E86"/>
    <w:rsid w:val="00025B10"/>
    <w:rsid w:val="00035E05"/>
    <w:rsid w:val="00046611"/>
    <w:rsid w:val="00053E41"/>
    <w:rsid w:val="00054B62"/>
    <w:rsid w:val="00065347"/>
    <w:rsid w:val="00072482"/>
    <w:rsid w:val="00075092"/>
    <w:rsid w:val="000A78FE"/>
    <w:rsid w:val="000B1646"/>
    <w:rsid w:val="000B21BA"/>
    <w:rsid w:val="000B536B"/>
    <w:rsid w:val="000C1A44"/>
    <w:rsid w:val="000D1136"/>
    <w:rsid w:val="000D5665"/>
    <w:rsid w:val="000D5FE7"/>
    <w:rsid w:val="000E62FE"/>
    <w:rsid w:val="000F60D4"/>
    <w:rsid w:val="00111FD4"/>
    <w:rsid w:val="0013678B"/>
    <w:rsid w:val="001400ED"/>
    <w:rsid w:val="00151B20"/>
    <w:rsid w:val="00172DF8"/>
    <w:rsid w:val="0018120B"/>
    <w:rsid w:val="00185B4C"/>
    <w:rsid w:val="001869D0"/>
    <w:rsid w:val="00187CC5"/>
    <w:rsid w:val="00196031"/>
    <w:rsid w:val="001A4280"/>
    <w:rsid w:val="001E0673"/>
    <w:rsid w:val="001E3569"/>
    <w:rsid w:val="001F0918"/>
    <w:rsid w:val="00222EC9"/>
    <w:rsid w:val="00237454"/>
    <w:rsid w:val="00247F78"/>
    <w:rsid w:val="0025372F"/>
    <w:rsid w:val="00253837"/>
    <w:rsid w:val="002737E9"/>
    <w:rsid w:val="002829FB"/>
    <w:rsid w:val="00294CC3"/>
    <w:rsid w:val="002A4E7C"/>
    <w:rsid w:val="002B2290"/>
    <w:rsid w:val="002E0698"/>
    <w:rsid w:val="002F5BB6"/>
    <w:rsid w:val="003065D7"/>
    <w:rsid w:val="00315292"/>
    <w:rsid w:val="00317C67"/>
    <w:rsid w:val="00317CC5"/>
    <w:rsid w:val="003305E9"/>
    <w:rsid w:val="00331818"/>
    <w:rsid w:val="00346651"/>
    <w:rsid w:val="003476CE"/>
    <w:rsid w:val="003550D4"/>
    <w:rsid w:val="0036607D"/>
    <w:rsid w:val="00377E59"/>
    <w:rsid w:val="0038130C"/>
    <w:rsid w:val="00397F0D"/>
    <w:rsid w:val="003A276E"/>
    <w:rsid w:val="003B0877"/>
    <w:rsid w:val="003C1886"/>
    <w:rsid w:val="003D1C50"/>
    <w:rsid w:val="003D219E"/>
    <w:rsid w:val="00413876"/>
    <w:rsid w:val="00432980"/>
    <w:rsid w:val="004622C8"/>
    <w:rsid w:val="00490D5F"/>
    <w:rsid w:val="004B51B0"/>
    <w:rsid w:val="004B592C"/>
    <w:rsid w:val="004B5D99"/>
    <w:rsid w:val="004C7F69"/>
    <w:rsid w:val="004D2944"/>
    <w:rsid w:val="004E29A5"/>
    <w:rsid w:val="00506673"/>
    <w:rsid w:val="00513059"/>
    <w:rsid w:val="00515E49"/>
    <w:rsid w:val="00520A84"/>
    <w:rsid w:val="00580D58"/>
    <w:rsid w:val="00586DAD"/>
    <w:rsid w:val="005A7A39"/>
    <w:rsid w:val="005B69DA"/>
    <w:rsid w:val="005C0FCC"/>
    <w:rsid w:val="005D3A33"/>
    <w:rsid w:val="005F510C"/>
    <w:rsid w:val="00600683"/>
    <w:rsid w:val="006110AE"/>
    <w:rsid w:val="00627561"/>
    <w:rsid w:val="00644137"/>
    <w:rsid w:val="00663EB6"/>
    <w:rsid w:val="006842FE"/>
    <w:rsid w:val="00697C0F"/>
    <w:rsid w:val="006B1CCF"/>
    <w:rsid w:val="006C58FF"/>
    <w:rsid w:val="006F2DC0"/>
    <w:rsid w:val="006F6B32"/>
    <w:rsid w:val="006F6F68"/>
    <w:rsid w:val="00730621"/>
    <w:rsid w:val="00741CDB"/>
    <w:rsid w:val="00743DFF"/>
    <w:rsid w:val="00751BAC"/>
    <w:rsid w:val="007B4D9A"/>
    <w:rsid w:val="007B6367"/>
    <w:rsid w:val="007C4149"/>
    <w:rsid w:val="007C442F"/>
    <w:rsid w:val="007D08E9"/>
    <w:rsid w:val="007D1380"/>
    <w:rsid w:val="007D4931"/>
    <w:rsid w:val="007F79B8"/>
    <w:rsid w:val="0081144F"/>
    <w:rsid w:val="008145CE"/>
    <w:rsid w:val="00814C5C"/>
    <w:rsid w:val="00815309"/>
    <w:rsid w:val="0081649B"/>
    <w:rsid w:val="00820CA6"/>
    <w:rsid w:val="008248CF"/>
    <w:rsid w:val="0084486F"/>
    <w:rsid w:val="0085468F"/>
    <w:rsid w:val="00860446"/>
    <w:rsid w:val="00866BE8"/>
    <w:rsid w:val="0087320F"/>
    <w:rsid w:val="00875356"/>
    <w:rsid w:val="008845A9"/>
    <w:rsid w:val="008A11B5"/>
    <w:rsid w:val="008A6DE9"/>
    <w:rsid w:val="008B559A"/>
    <w:rsid w:val="008C752A"/>
    <w:rsid w:val="008E3FEC"/>
    <w:rsid w:val="008F1714"/>
    <w:rsid w:val="00914525"/>
    <w:rsid w:val="00932324"/>
    <w:rsid w:val="00947AA3"/>
    <w:rsid w:val="0095609C"/>
    <w:rsid w:val="00960C77"/>
    <w:rsid w:val="00967504"/>
    <w:rsid w:val="00974812"/>
    <w:rsid w:val="009A1357"/>
    <w:rsid w:val="00A17FCC"/>
    <w:rsid w:val="00A22A45"/>
    <w:rsid w:val="00A240A9"/>
    <w:rsid w:val="00A24178"/>
    <w:rsid w:val="00A24CE6"/>
    <w:rsid w:val="00A268F4"/>
    <w:rsid w:val="00A26F1D"/>
    <w:rsid w:val="00A3745D"/>
    <w:rsid w:val="00A40A9A"/>
    <w:rsid w:val="00A5054B"/>
    <w:rsid w:val="00A563DA"/>
    <w:rsid w:val="00A662BC"/>
    <w:rsid w:val="00A921ED"/>
    <w:rsid w:val="00AA036D"/>
    <w:rsid w:val="00AA31F3"/>
    <w:rsid w:val="00AB26AA"/>
    <w:rsid w:val="00AF7548"/>
    <w:rsid w:val="00B10A38"/>
    <w:rsid w:val="00B1104F"/>
    <w:rsid w:val="00B16C55"/>
    <w:rsid w:val="00B44A88"/>
    <w:rsid w:val="00B44E9D"/>
    <w:rsid w:val="00B477E6"/>
    <w:rsid w:val="00B526F1"/>
    <w:rsid w:val="00B54DF3"/>
    <w:rsid w:val="00B61700"/>
    <w:rsid w:val="00B62C82"/>
    <w:rsid w:val="00B65080"/>
    <w:rsid w:val="00B83785"/>
    <w:rsid w:val="00BA0CC9"/>
    <w:rsid w:val="00BB159F"/>
    <w:rsid w:val="00BD5383"/>
    <w:rsid w:val="00BE3D3B"/>
    <w:rsid w:val="00BF372B"/>
    <w:rsid w:val="00BF38C8"/>
    <w:rsid w:val="00BF7734"/>
    <w:rsid w:val="00C00D7B"/>
    <w:rsid w:val="00C30EA8"/>
    <w:rsid w:val="00C54CFC"/>
    <w:rsid w:val="00C75746"/>
    <w:rsid w:val="00C77671"/>
    <w:rsid w:val="00C77A70"/>
    <w:rsid w:val="00C91318"/>
    <w:rsid w:val="00C937E4"/>
    <w:rsid w:val="00C94185"/>
    <w:rsid w:val="00CA112B"/>
    <w:rsid w:val="00CC14E2"/>
    <w:rsid w:val="00CD44F3"/>
    <w:rsid w:val="00CD6207"/>
    <w:rsid w:val="00CE7837"/>
    <w:rsid w:val="00D03461"/>
    <w:rsid w:val="00D04748"/>
    <w:rsid w:val="00D13AFF"/>
    <w:rsid w:val="00D21FFF"/>
    <w:rsid w:val="00D443FA"/>
    <w:rsid w:val="00D51087"/>
    <w:rsid w:val="00D52729"/>
    <w:rsid w:val="00D60C49"/>
    <w:rsid w:val="00D764B9"/>
    <w:rsid w:val="00D77997"/>
    <w:rsid w:val="00D86F62"/>
    <w:rsid w:val="00D92063"/>
    <w:rsid w:val="00D96BE5"/>
    <w:rsid w:val="00DB60D1"/>
    <w:rsid w:val="00DC378C"/>
    <w:rsid w:val="00DC5410"/>
    <w:rsid w:val="00DD1A1D"/>
    <w:rsid w:val="00DD49AF"/>
    <w:rsid w:val="00DE2198"/>
    <w:rsid w:val="00E13D8B"/>
    <w:rsid w:val="00E26231"/>
    <w:rsid w:val="00E44420"/>
    <w:rsid w:val="00E4745E"/>
    <w:rsid w:val="00E54D3B"/>
    <w:rsid w:val="00EA178A"/>
    <w:rsid w:val="00EB222A"/>
    <w:rsid w:val="00EB3E67"/>
    <w:rsid w:val="00EB4E67"/>
    <w:rsid w:val="00ED0AEA"/>
    <w:rsid w:val="00EE5DC5"/>
    <w:rsid w:val="00EF25AE"/>
    <w:rsid w:val="00F11B4E"/>
    <w:rsid w:val="00F161A1"/>
    <w:rsid w:val="00F24CEB"/>
    <w:rsid w:val="00F709EC"/>
    <w:rsid w:val="00F75E3D"/>
    <w:rsid w:val="00F7667C"/>
    <w:rsid w:val="00F847A4"/>
    <w:rsid w:val="00F860B3"/>
    <w:rsid w:val="00F95CF6"/>
    <w:rsid w:val="00F96FD1"/>
    <w:rsid w:val="00FA6E78"/>
    <w:rsid w:val="00FB3603"/>
    <w:rsid w:val="00FB593D"/>
    <w:rsid w:val="00FC4FBC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70357"/>
  <w15:docId w15:val="{9BEC63D4-B38E-4DB4-B468-1F551BDE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087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563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31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11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477E6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5B69DA"/>
  </w:style>
  <w:style w:type="paragraph" w:styleId="Ballontekst">
    <w:name w:val="Balloon Text"/>
    <w:basedOn w:val="Standaard"/>
    <w:link w:val="BallontekstChar"/>
    <w:uiPriority w:val="99"/>
    <w:semiHidden/>
    <w:unhideWhenUsed/>
    <w:rsid w:val="00C776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7671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E783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783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E783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783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783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E7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9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3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6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3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17D67-93BD-43AB-97EE-1D4C3799D7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A1413-2480-4EEF-AA20-A9FF942C8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A77E5-CF90-45D3-A55D-52C3CB21A0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Albeda College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Simone Tazelaar</cp:lastModifiedBy>
  <cp:revision>3</cp:revision>
  <cp:lastPrinted>2020-09-08T14:14:00Z</cp:lastPrinted>
  <dcterms:created xsi:type="dcterms:W3CDTF">2022-07-12T07:57:00Z</dcterms:created>
  <dcterms:modified xsi:type="dcterms:W3CDTF">2022-07-12T07:58:00Z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Order">
    <vt:r8>1300</vt:r8>
  </property>
</Properties>
</file>